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D1462" w14:textId="0E6A5718" w:rsidR="00906524" w:rsidRPr="00491B1F" w:rsidRDefault="007475AA">
      <w:pPr>
        <w:pStyle w:val="Ttulo3"/>
        <w:keepNext w:val="0"/>
        <w:keepLines w:val="0"/>
        <w:spacing w:before="280" w:line="240" w:lineRule="auto"/>
        <w:jc w:val="center"/>
        <w:rPr>
          <w:b/>
          <w:color w:val="000000"/>
          <w:sz w:val="22"/>
          <w:szCs w:val="22"/>
        </w:rPr>
      </w:pPr>
      <w:bookmarkStart w:id="0" w:name="_6ryogbog2sy6" w:colFirst="0" w:colLast="0"/>
      <w:bookmarkStart w:id="1" w:name="_GoBack"/>
      <w:bookmarkEnd w:id="0"/>
      <w:bookmarkEnd w:id="1"/>
      <w:r w:rsidRPr="00491B1F">
        <w:rPr>
          <w:b/>
          <w:color w:val="000000"/>
          <w:sz w:val="22"/>
          <w:szCs w:val="22"/>
        </w:rPr>
        <w:t>PROYECTO DE ACUERDO No</w:t>
      </w:r>
      <w:r w:rsidR="00595D62">
        <w:rPr>
          <w:b/>
          <w:color w:val="000000"/>
          <w:sz w:val="22"/>
          <w:szCs w:val="22"/>
        </w:rPr>
        <w:t xml:space="preserve"> 753</w:t>
      </w:r>
      <w:r w:rsidRPr="00491B1F">
        <w:rPr>
          <w:b/>
          <w:color w:val="000000"/>
          <w:sz w:val="22"/>
          <w:szCs w:val="22"/>
        </w:rPr>
        <w:t xml:space="preserve"> DE 2025</w:t>
      </w:r>
    </w:p>
    <w:p w14:paraId="7BAD1463" w14:textId="00AF913F" w:rsidR="00906524" w:rsidRPr="002014DF" w:rsidRDefault="002014DF">
      <w:pPr>
        <w:pStyle w:val="Ttulo3"/>
        <w:keepNext w:val="0"/>
        <w:keepLines w:val="0"/>
        <w:spacing w:before="280" w:line="240" w:lineRule="auto"/>
        <w:jc w:val="center"/>
        <w:rPr>
          <w:b/>
          <w:color w:val="000000"/>
          <w:sz w:val="22"/>
          <w:szCs w:val="22"/>
        </w:rPr>
      </w:pPr>
      <w:bookmarkStart w:id="2" w:name="_8tjql7yzp5r" w:colFirst="0" w:colLast="0"/>
      <w:bookmarkEnd w:id="2"/>
      <w:r w:rsidRPr="002014DF">
        <w:rPr>
          <w:b/>
          <w:color w:val="000000"/>
          <w:sz w:val="22"/>
          <w:szCs w:val="22"/>
        </w:rPr>
        <w:t>“POR MEDIO DEL CUAL SE ESTABLECEN LOS LINEAMIENTOS GENERALES PARA LA FORMULACIÓN E IMPLEMENTACIÓN DE LA POLÍTICA PÚBLICA DISTRITAL DE MICRONEGOCIOS BARRIALES Y VECINALES EN BOGOTÁ, D.C. Y SE DICTAN OTRAS DISPOSICIONES”</w:t>
      </w:r>
    </w:p>
    <w:p w14:paraId="7BAD1464" w14:textId="77777777" w:rsidR="00906524" w:rsidRPr="00491B1F" w:rsidRDefault="00906524"/>
    <w:p w14:paraId="7BAD1465" w14:textId="77777777" w:rsidR="00906524" w:rsidRPr="00491B1F" w:rsidRDefault="007475AA">
      <w:pPr>
        <w:spacing w:line="240" w:lineRule="auto"/>
        <w:jc w:val="center"/>
        <w:rPr>
          <w:b/>
        </w:rPr>
      </w:pPr>
      <w:r w:rsidRPr="00491B1F">
        <w:rPr>
          <w:b/>
        </w:rPr>
        <w:t xml:space="preserve">EXPOSICIÓN DE MOTIVOS </w:t>
      </w:r>
    </w:p>
    <w:p w14:paraId="7BAD1467" w14:textId="77777777" w:rsidR="00906524" w:rsidRPr="00491B1F" w:rsidRDefault="00906524">
      <w:pPr>
        <w:spacing w:line="240" w:lineRule="auto"/>
      </w:pPr>
    </w:p>
    <w:p w14:paraId="7BAD1468" w14:textId="77777777" w:rsidR="00906524" w:rsidRPr="00491B1F" w:rsidRDefault="007475AA">
      <w:pPr>
        <w:numPr>
          <w:ilvl w:val="0"/>
          <w:numId w:val="2"/>
        </w:numPr>
        <w:spacing w:line="240" w:lineRule="auto"/>
        <w:jc w:val="both"/>
        <w:rPr>
          <w:b/>
        </w:rPr>
      </w:pPr>
      <w:r w:rsidRPr="00491B1F">
        <w:rPr>
          <w:b/>
        </w:rPr>
        <w:t>OBJETO.</w:t>
      </w:r>
    </w:p>
    <w:p w14:paraId="7BAD1469" w14:textId="77777777" w:rsidR="00906524" w:rsidRPr="00491B1F" w:rsidRDefault="00906524">
      <w:pPr>
        <w:spacing w:line="240" w:lineRule="auto"/>
        <w:jc w:val="both"/>
      </w:pPr>
    </w:p>
    <w:p w14:paraId="7BAD146A" w14:textId="184EC58A" w:rsidR="00906524" w:rsidRPr="00491B1F" w:rsidRDefault="007475AA">
      <w:pPr>
        <w:spacing w:line="240" w:lineRule="auto"/>
        <w:jc w:val="both"/>
        <w:rPr>
          <w:color w:val="FF0000"/>
        </w:rPr>
      </w:pPr>
      <w:r w:rsidRPr="00491B1F">
        <w:t xml:space="preserve">La presente iniciativa tiene como objetivo establecer los lineamientos generales para la formulación e implementación de la Política Pública Distrital de Micronegocios Barriales y Vecinales en Bogotá, D.C. Asimismo, se define el micronegocio como una unidad económica ubicada en zonas barriales o rurales, con hasta nueve personas ocupadas y cuyos ingresos anuales no superan las 3.500 Unidades de Valor Tributario (UVT), conforme a lo establecido en la </w:t>
      </w:r>
      <w:r w:rsidR="00BD4E09" w:rsidRPr="00491B1F">
        <w:t>Ley 2470 de 2025.</w:t>
      </w:r>
    </w:p>
    <w:p w14:paraId="7BAD146B" w14:textId="77777777" w:rsidR="00906524" w:rsidRPr="00491B1F" w:rsidRDefault="007475AA">
      <w:pPr>
        <w:spacing w:before="300" w:after="300" w:line="240" w:lineRule="auto"/>
        <w:jc w:val="both"/>
      </w:pPr>
      <w:r w:rsidRPr="00491B1F">
        <w:t>El proyecto establece que la Política Pública Distrital de Micronegocios Barriales y Vecinales en Bogotá deberá formularse con base en los siguientes lineamientos: el reconocimiento de los micronegocios, tiendas y panaderías como actores esenciales en el abastecimiento local y en la seguridad alimentaria del Distrito; la inclusión de estos en programas de formación, acompañamiento empresarial, acceso a financiación, formalización, innovación y asociatividad; la implementación de un sistema distrital de información georreferenciada con enfoque diferencial; y la promoción de su acceso a la seguridad social, la certificación de competencias laborales y la participación en espacios comerciales como ferias y ruedas de negocio, entre otros aspectos.</w:t>
      </w:r>
    </w:p>
    <w:p w14:paraId="7BAD146C" w14:textId="77777777" w:rsidR="00906524" w:rsidRPr="00491B1F" w:rsidRDefault="007475AA">
      <w:pPr>
        <w:spacing w:before="300" w:after="300" w:line="240" w:lineRule="auto"/>
        <w:jc w:val="both"/>
      </w:pPr>
      <w:r w:rsidRPr="00491B1F">
        <w:t>Se propone que la formulación e implementación de esta política estará a cargo de la Administración Distrital, liderada por la Secretaría de Desarrollo Económico, junto con la Secretaría de Planeación, la Secretaría de Educación y otras entidades competentes. La Secretaría de Desarrollo Económico será responsable del seguimiento técnico.</w:t>
      </w:r>
    </w:p>
    <w:p w14:paraId="7BAD146D" w14:textId="77777777" w:rsidR="00906524" w:rsidRPr="00491B1F" w:rsidRDefault="007475AA">
      <w:pPr>
        <w:spacing w:line="240" w:lineRule="auto"/>
        <w:jc w:val="both"/>
      </w:pPr>
      <w:r w:rsidRPr="00491B1F">
        <w:t>Por otro lado, contempla que el Distrito contará con un plazo máximo de 18 meses para diseñar, adoptar e implementar esta política pública.</w:t>
      </w:r>
    </w:p>
    <w:p w14:paraId="7BAD146E" w14:textId="77777777" w:rsidR="00906524" w:rsidRPr="00491B1F" w:rsidRDefault="00906524">
      <w:pPr>
        <w:spacing w:line="240" w:lineRule="auto"/>
        <w:jc w:val="both"/>
      </w:pPr>
    </w:p>
    <w:p w14:paraId="7BAD146F" w14:textId="77777777" w:rsidR="00906524" w:rsidRPr="00491B1F" w:rsidRDefault="00906524">
      <w:pPr>
        <w:spacing w:line="240" w:lineRule="auto"/>
        <w:jc w:val="both"/>
      </w:pPr>
    </w:p>
    <w:p w14:paraId="7BAD1470" w14:textId="77777777" w:rsidR="00906524" w:rsidRPr="00491B1F" w:rsidRDefault="007475AA">
      <w:pPr>
        <w:numPr>
          <w:ilvl w:val="0"/>
          <w:numId w:val="2"/>
        </w:numPr>
        <w:spacing w:line="240" w:lineRule="auto"/>
        <w:jc w:val="both"/>
        <w:rPr>
          <w:rFonts w:eastAsia="Times New Roman"/>
          <w:b/>
        </w:rPr>
      </w:pPr>
      <w:r w:rsidRPr="00491B1F">
        <w:t xml:space="preserve"> </w:t>
      </w:r>
      <w:r w:rsidRPr="00491B1F">
        <w:rPr>
          <w:b/>
        </w:rPr>
        <w:t xml:space="preserve">ASPECTOS GENERALES </w:t>
      </w:r>
    </w:p>
    <w:p w14:paraId="7BAD1471" w14:textId="77777777" w:rsidR="00906524" w:rsidRPr="00491B1F" w:rsidRDefault="007475AA">
      <w:pPr>
        <w:spacing w:before="300" w:after="300" w:line="240" w:lineRule="auto"/>
        <w:jc w:val="both"/>
        <w:rPr>
          <w:b/>
        </w:rPr>
      </w:pPr>
      <w:r w:rsidRPr="00491B1F">
        <w:rPr>
          <w:b/>
        </w:rPr>
        <w:t xml:space="preserve">Nacional </w:t>
      </w:r>
    </w:p>
    <w:p w14:paraId="7BAD1472" w14:textId="77777777" w:rsidR="00906524" w:rsidRPr="00491B1F" w:rsidRDefault="007475AA">
      <w:pPr>
        <w:spacing w:before="300" w:after="300" w:line="240" w:lineRule="auto"/>
        <w:jc w:val="both"/>
      </w:pPr>
      <w:r w:rsidRPr="00491B1F">
        <w:t xml:space="preserve">De acuerdo con la Encuesta de Micronegocios – EMICRON, publicada por el DANE en junio de 2025, durante el primer trimestre del año se estimaron 2,3 millones de micronegocios activos en las 24 principales ciudades del país. De estos, la gran mayoría —2,2 millones— están en manos de trabajadores por cuenta propia, y apenas cerca de 100.000 son </w:t>
      </w:r>
      <w:r w:rsidRPr="00491B1F">
        <w:lastRenderedPageBreak/>
        <w:t>gestionados por personas con al menos un empleado a cargo. Este dato ratifica que el micronegocio sigue siendo una alternativa predominante de autoempleo urbano en Colombia.</w:t>
      </w:r>
      <w:r w:rsidRPr="00491B1F">
        <w:rPr>
          <w:vertAlign w:val="superscript"/>
        </w:rPr>
        <w:footnoteReference w:id="1"/>
      </w:r>
    </w:p>
    <w:p w14:paraId="7BAD1473" w14:textId="514DDFFF" w:rsidR="00906524" w:rsidRPr="00491B1F" w:rsidRDefault="007475AA">
      <w:pPr>
        <w:spacing w:before="300" w:after="300" w:line="240" w:lineRule="auto"/>
        <w:jc w:val="both"/>
        <w:rPr>
          <w:b/>
        </w:rPr>
      </w:pPr>
      <w:r w:rsidRPr="00491B1F">
        <w:t xml:space="preserve">Asimismo, es importante traer a coalición la Encuesta de Micronegocios (EMICRON) Panaderías y tiendas de barrio 2019-2023, </w:t>
      </w:r>
      <w:r w:rsidR="00BD4E09" w:rsidRPr="00491B1F">
        <w:t>que,</w:t>
      </w:r>
      <w:r w:rsidRPr="00491B1F">
        <w:t xml:space="preserve"> según el DANE, se registraron aproximadamente 546.817 micronegocios de panaderías y tiendas de barrio en el país. El 88,7 % de estos micronegocios eran administrados por trabajadores(as) independientes, mientras que el 11,3 % correspondía a patronos(as) o empleadores(as) que contaban con al menos una persona a su cargo.  Asimismo, contiene que  el 60,4% propietarios(as) de micronegocios de panaderías y tiendas de barrio, eran hombres y 39,6% mujeres.</w:t>
      </w:r>
      <w:r w:rsidRPr="00491B1F">
        <w:rPr>
          <w:vertAlign w:val="superscript"/>
        </w:rPr>
        <w:footnoteReference w:id="2"/>
      </w:r>
    </w:p>
    <w:p w14:paraId="7BAD1474" w14:textId="77777777" w:rsidR="00906524" w:rsidRPr="00491B1F" w:rsidRDefault="007475AA">
      <w:pPr>
        <w:spacing w:before="300" w:after="300" w:line="240" w:lineRule="auto"/>
        <w:jc w:val="both"/>
        <w:rPr>
          <w:b/>
        </w:rPr>
      </w:pPr>
      <w:r w:rsidRPr="00491B1F">
        <w:rPr>
          <w:b/>
        </w:rPr>
        <w:t xml:space="preserve">Bogotá </w:t>
      </w:r>
    </w:p>
    <w:p w14:paraId="7BAD1475" w14:textId="77777777" w:rsidR="00906524" w:rsidRPr="00491B1F" w:rsidRDefault="007475AA">
      <w:pPr>
        <w:spacing w:line="240" w:lineRule="auto"/>
        <w:jc w:val="both"/>
      </w:pPr>
      <w:r w:rsidRPr="00491B1F">
        <w:t>Según el Observatorio de Desarrollo Económico de Bogotá, en la caracterización de los micronegocios en la ciudad para el año 2023 se registraron 508.115 unidades, lo que representó un incremento del 9,7 % frente a 2022. Estos negocios se concentraron principalmente en los sectores de servicios (55,8 %) y comercio (32,1 %). En promedio, cada micronegocio generó $61,8 millones en ventas anuales. Solo el 15,2 % accedió a algún tipo de crédito, en su mayoría a través del sistema financiero formal, y el 64,5 % de esos recursos se destinaron a inversión en el propio negocio. La participación de mujeres como propietarias aumentó a 35,2 %. No obstante, la informalidad persiste como una barrera estructural: solo el 27,1 % cuenta con matrícula mercantil, el 47,3 % no tiene RUT y el 46,2 % no lleva registros contables.</w:t>
      </w:r>
      <w:r w:rsidRPr="00491B1F">
        <w:rPr>
          <w:vertAlign w:val="superscript"/>
        </w:rPr>
        <w:footnoteReference w:id="3"/>
      </w:r>
    </w:p>
    <w:p w14:paraId="7BAD1476" w14:textId="77777777" w:rsidR="00906524" w:rsidRPr="00491B1F" w:rsidRDefault="007475AA">
      <w:pPr>
        <w:spacing w:line="240" w:lineRule="auto"/>
        <w:jc w:val="center"/>
      </w:pPr>
      <w:r w:rsidRPr="00491B1F">
        <w:rPr>
          <w:noProof/>
          <w:lang w:val="es-CO"/>
        </w:rPr>
        <w:drawing>
          <wp:inline distT="114300" distB="114300" distL="114300" distR="114300" wp14:anchorId="7BAD152F" wp14:editId="78613B43">
            <wp:extent cx="4616623" cy="2479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620044" cy="2481513"/>
                    </a:xfrm>
                    <a:prstGeom prst="rect">
                      <a:avLst/>
                    </a:prstGeom>
                    <a:ln/>
                  </pic:spPr>
                </pic:pic>
              </a:graphicData>
            </a:graphic>
          </wp:inline>
        </w:drawing>
      </w:r>
    </w:p>
    <w:p w14:paraId="7BAD1477" w14:textId="30ABD231" w:rsidR="00906524" w:rsidRPr="00491B1F" w:rsidRDefault="007475AA">
      <w:pPr>
        <w:spacing w:line="240" w:lineRule="auto"/>
        <w:ind w:firstLine="720"/>
        <w:jc w:val="both"/>
      </w:pPr>
      <w:r w:rsidRPr="00491B1F">
        <w:t xml:space="preserve">          Fuente: Figura tomada de </w:t>
      </w:r>
      <w:r w:rsidR="00BD4E09" w:rsidRPr="00491B1F">
        <w:t>la Caracterización</w:t>
      </w:r>
      <w:r w:rsidRPr="00491B1F">
        <w:t xml:space="preserve"> de los micronegocios en Bogotá </w:t>
      </w:r>
    </w:p>
    <w:p w14:paraId="7BAD1478" w14:textId="77777777" w:rsidR="00906524" w:rsidRPr="00491B1F" w:rsidRDefault="007475AA">
      <w:pPr>
        <w:spacing w:line="240" w:lineRule="auto"/>
        <w:ind w:firstLine="720"/>
        <w:jc w:val="both"/>
      </w:pPr>
      <w:r w:rsidRPr="00491B1F">
        <w:t xml:space="preserve">          Resultados en 2023 - Observatorio de Desarrollo Económico de Bogotá,</w:t>
      </w:r>
    </w:p>
    <w:p w14:paraId="273008E1" w14:textId="77777777" w:rsidR="00E876A5" w:rsidRPr="00491B1F" w:rsidRDefault="00E876A5">
      <w:pPr>
        <w:spacing w:line="240" w:lineRule="auto"/>
        <w:jc w:val="both"/>
      </w:pPr>
    </w:p>
    <w:p w14:paraId="7BAD1479" w14:textId="7B632FDC" w:rsidR="00906524" w:rsidRPr="00491B1F" w:rsidRDefault="007475AA">
      <w:pPr>
        <w:spacing w:line="240" w:lineRule="auto"/>
        <w:jc w:val="both"/>
      </w:pPr>
      <w:r w:rsidRPr="00491B1F">
        <w:t>De igual manera, se encontró que el 62,2 % de los micronegocios en Bogotá llevan tres años o más en funcionamiento, lo que evidencia su permanencia como forma estable de generación de ingresos en la ciudad. De ese total, el 43,8 % supera los diez años de actividad, mientras que el 18,4 % tiene entre cinco y menos de diez años de operación. Por otro lado, el 15,2 % lleva entre uno y menos de tres años, lo que muestra una base consolidada, pero también una renovación constante del sector.</w:t>
      </w:r>
      <w:r w:rsidRPr="00491B1F">
        <w:rPr>
          <w:vertAlign w:val="superscript"/>
        </w:rPr>
        <w:footnoteReference w:id="4"/>
      </w:r>
    </w:p>
    <w:p w14:paraId="7BAD147A" w14:textId="77777777" w:rsidR="00906524" w:rsidRPr="00491B1F" w:rsidRDefault="00906524">
      <w:pPr>
        <w:spacing w:line="240" w:lineRule="auto"/>
        <w:jc w:val="both"/>
      </w:pPr>
    </w:p>
    <w:p w14:paraId="7BAD147B" w14:textId="77777777" w:rsidR="00906524" w:rsidRPr="00491B1F" w:rsidRDefault="007475AA">
      <w:pPr>
        <w:spacing w:line="240" w:lineRule="auto"/>
        <w:jc w:val="both"/>
      </w:pPr>
      <w:r w:rsidRPr="00491B1F">
        <w:t>Por otro lado, es importante destacar que, entre las conclusiones, se resalta que en Bogotá persisten retos clave como la informalidad “</w:t>
      </w:r>
      <w:r w:rsidRPr="00491B1F">
        <w:rPr>
          <w:i/>
        </w:rPr>
        <w:t>reflejada en la baja tasa de inscripción en la Cámara de Comercio (apenas el 27,1 % de los negocios), la falta de registros contables (46,2 % manifiesta no llevarlos) y la no tenencia de registros tributarios (47,3 %). A esto se suma la alta concentración de micronegocios gestionados por trabajadores por cuenta propia (87,9 %), lo que resalta la necesidad de implementar políticas públicas orientadas a promover su formalización y estabilidad laboral</w:t>
      </w:r>
      <w:r w:rsidRPr="00491B1F">
        <w:t>”.  De igual manera, el acceso al crédito y a otros mecanismos de financiamiento formal.</w:t>
      </w:r>
      <w:r w:rsidRPr="00491B1F">
        <w:rPr>
          <w:vertAlign w:val="superscript"/>
        </w:rPr>
        <w:footnoteReference w:id="5"/>
      </w:r>
    </w:p>
    <w:p w14:paraId="7BAD147C" w14:textId="77777777" w:rsidR="00906524" w:rsidRPr="00491B1F" w:rsidRDefault="00906524">
      <w:pPr>
        <w:spacing w:line="240" w:lineRule="auto"/>
        <w:jc w:val="both"/>
      </w:pPr>
    </w:p>
    <w:p w14:paraId="7BAD147D" w14:textId="77777777" w:rsidR="00906524" w:rsidRPr="00491B1F" w:rsidRDefault="007475AA">
      <w:pPr>
        <w:spacing w:line="240" w:lineRule="auto"/>
        <w:jc w:val="both"/>
      </w:pPr>
      <w:r w:rsidRPr="00491B1F">
        <w:t>Al respecto, el Observatorio de Desarrollo Económico de Bogotá (agosto de 2024), resaltó que el 84,8 % de los micronegocios establecidos en la ciudad no acceden al sistema financiero formal, lo que evidencia una alta exclusión financiera. En los negocios nuevos, apenas el 11,6 % logró un crédito formal, mientras que el 20,5 % recurrió a préstamos informales, como familiares o prestamistas del “gota a gota”. Las razones principales: temor al endeudamiento (45 %), falta de requisitos (14,2 %) y reportes negativos o intereses altos (8,6 %).</w:t>
      </w:r>
      <w:r w:rsidRPr="00491B1F">
        <w:rPr>
          <w:vertAlign w:val="superscript"/>
        </w:rPr>
        <w:footnoteReference w:id="6"/>
      </w:r>
    </w:p>
    <w:p w14:paraId="7BAD147E" w14:textId="77777777" w:rsidR="00906524" w:rsidRPr="00491B1F" w:rsidRDefault="00906524">
      <w:pPr>
        <w:spacing w:line="240" w:lineRule="auto"/>
        <w:jc w:val="both"/>
      </w:pPr>
    </w:p>
    <w:p w14:paraId="7BAD147F" w14:textId="77777777" w:rsidR="00906524" w:rsidRPr="00491B1F" w:rsidRDefault="00906524">
      <w:pPr>
        <w:spacing w:line="240" w:lineRule="auto"/>
        <w:rPr>
          <w:b/>
          <w:color w:val="333333"/>
        </w:rPr>
      </w:pPr>
    </w:p>
    <w:p w14:paraId="7BAD1480" w14:textId="77777777" w:rsidR="00906524" w:rsidRPr="00491B1F" w:rsidRDefault="007475AA">
      <w:pPr>
        <w:numPr>
          <w:ilvl w:val="0"/>
          <w:numId w:val="2"/>
        </w:numPr>
        <w:tabs>
          <w:tab w:val="left" w:pos="284"/>
        </w:tabs>
        <w:spacing w:line="240" w:lineRule="auto"/>
        <w:jc w:val="both"/>
        <w:rPr>
          <w:b/>
        </w:rPr>
      </w:pPr>
      <w:r w:rsidRPr="00491B1F">
        <w:rPr>
          <w:b/>
        </w:rPr>
        <w:t xml:space="preserve">CONSTITUCIONALIDAD Y LEGALIDAD </w:t>
      </w:r>
    </w:p>
    <w:p w14:paraId="7BAD1481" w14:textId="77777777" w:rsidR="00906524" w:rsidRPr="00491B1F" w:rsidRDefault="00906524">
      <w:pPr>
        <w:tabs>
          <w:tab w:val="left" w:pos="284"/>
        </w:tabs>
        <w:spacing w:line="240" w:lineRule="auto"/>
        <w:jc w:val="both"/>
      </w:pPr>
    </w:p>
    <w:p w14:paraId="7BAD1482" w14:textId="77777777" w:rsidR="00906524" w:rsidRPr="00491B1F" w:rsidRDefault="007475AA">
      <w:pPr>
        <w:tabs>
          <w:tab w:val="left" w:pos="284"/>
        </w:tabs>
        <w:spacing w:line="240" w:lineRule="auto"/>
        <w:jc w:val="both"/>
        <w:rPr>
          <w:b/>
        </w:rPr>
      </w:pPr>
      <w:r w:rsidRPr="00491B1F">
        <w:rPr>
          <w:b/>
        </w:rPr>
        <w:t xml:space="preserve">CONSTITUCIÒN POLÌTICA DE COLOMBIA </w:t>
      </w:r>
    </w:p>
    <w:p w14:paraId="7BAD1483" w14:textId="77777777" w:rsidR="00906524" w:rsidRPr="00491B1F" w:rsidRDefault="00906524">
      <w:pPr>
        <w:spacing w:line="240" w:lineRule="auto"/>
        <w:rPr>
          <w:b/>
          <w:color w:val="333333"/>
        </w:rPr>
      </w:pPr>
    </w:p>
    <w:p w14:paraId="7BAD1484" w14:textId="77777777" w:rsidR="00906524" w:rsidRPr="00491B1F" w:rsidRDefault="007475AA">
      <w:pPr>
        <w:spacing w:line="240" w:lineRule="auto"/>
        <w:jc w:val="both"/>
        <w:rPr>
          <w:b/>
        </w:rPr>
      </w:pPr>
      <w:r w:rsidRPr="00491B1F">
        <w:rPr>
          <w:b/>
        </w:rPr>
        <w:t>Artículo 1.</w:t>
      </w:r>
    </w:p>
    <w:p w14:paraId="7BAD1485" w14:textId="77777777" w:rsidR="00906524" w:rsidRPr="00491B1F" w:rsidRDefault="00906524">
      <w:pPr>
        <w:spacing w:line="240" w:lineRule="auto"/>
        <w:jc w:val="both"/>
      </w:pPr>
    </w:p>
    <w:p w14:paraId="7BAD1486" w14:textId="77777777" w:rsidR="00906524" w:rsidRPr="00491B1F" w:rsidRDefault="007475AA">
      <w:pPr>
        <w:spacing w:line="240" w:lineRule="auto"/>
        <w:ind w:left="566" w:right="526"/>
        <w:jc w:val="both"/>
        <w:rPr>
          <w:i/>
        </w:rPr>
      </w:pPr>
      <w:r w:rsidRPr="00491B1F">
        <w:rPr>
          <w:i/>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7BAD1487" w14:textId="77777777" w:rsidR="00906524" w:rsidRPr="00491B1F" w:rsidRDefault="00906524">
      <w:pPr>
        <w:spacing w:line="240" w:lineRule="auto"/>
        <w:jc w:val="both"/>
        <w:rPr>
          <w:b/>
        </w:rPr>
      </w:pPr>
    </w:p>
    <w:p w14:paraId="7BAD1488" w14:textId="703B7A08" w:rsidR="00906524" w:rsidRPr="00491B1F" w:rsidRDefault="00BD4E09">
      <w:pPr>
        <w:spacing w:line="240" w:lineRule="auto"/>
        <w:jc w:val="both"/>
        <w:rPr>
          <w:b/>
        </w:rPr>
      </w:pPr>
      <w:r w:rsidRPr="00491B1F">
        <w:rPr>
          <w:b/>
        </w:rPr>
        <w:t>Artículo 25</w:t>
      </w:r>
      <w:r w:rsidR="007475AA" w:rsidRPr="00491B1F">
        <w:rPr>
          <w:b/>
        </w:rPr>
        <w:t xml:space="preserve">. </w:t>
      </w:r>
    </w:p>
    <w:p w14:paraId="7BAD1489" w14:textId="77777777" w:rsidR="00906524" w:rsidRPr="00491B1F" w:rsidRDefault="00906524">
      <w:pPr>
        <w:spacing w:line="240" w:lineRule="auto"/>
        <w:jc w:val="both"/>
      </w:pPr>
    </w:p>
    <w:p w14:paraId="7BAD148A" w14:textId="77777777" w:rsidR="00906524" w:rsidRPr="00491B1F" w:rsidRDefault="007475AA">
      <w:pPr>
        <w:spacing w:line="240" w:lineRule="auto"/>
        <w:ind w:left="566" w:right="526"/>
        <w:jc w:val="both"/>
        <w:rPr>
          <w:i/>
        </w:rPr>
      </w:pPr>
      <w:r w:rsidRPr="00491B1F">
        <w:rPr>
          <w:i/>
        </w:rPr>
        <w:t>“El trabajo es un derecho y una obligación social y goza, en todas sus modalidades, de la especial protección del Estado. Toda persona tiene derecho a un trabajo en condiciones dignas y justas.”</w:t>
      </w:r>
    </w:p>
    <w:p w14:paraId="7BAD148B" w14:textId="77777777" w:rsidR="00906524" w:rsidRPr="00491B1F" w:rsidRDefault="00906524">
      <w:pPr>
        <w:spacing w:line="240" w:lineRule="auto"/>
        <w:jc w:val="both"/>
      </w:pPr>
    </w:p>
    <w:p w14:paraId="7BAD148D" w14:textId="77777777" w:rsidR="00906524" w:rsidRPr="00491B1F" w:rsidRDefault="007475AA">
      <w:pPr>
        <w:shd w:val="clear" w:color="auto" w:fill="FFFFFF"/>
        <w:spacing w:after="160" w:line="240" w:lineRule="auto"/>
        <w:jc w:val="both"/>
        <w:rPr>
          <w:b/>
        </w:rPr>
      </w:pPr>
      <w:r w:rsidRPr="00491B1F">
        <w:rPr>
          <w:b/>
        </w:rPr>
        <w:t xml:space="preserve">Artículo 333. </w:t>
      </w:r>
    </w:p>
    <w:p w14:paraId="7BAD148E" w14:textId="77777777" w:rsidR="00906524" w:rsidRPr="00491B1F" w:rsidRDefault="007475AA">
      <w:pPr>
        <w:shd w:val="clear" w:color="auto" w:fill="FFFFFF"/>
        <w:spacing w:after="160" w:line="240" w:lineRule="auto"/>
        <w:ind w:left="566" w:right="556"/>
        <w:jc w:val="both"/>
        <w:rPr>
          <w:i/>
        </w:rPr>
      </w:pPr>
      <w:r w:rsidRPr="00491B1F">
        <w:rPr>
          <w:i/>
        </w:rPr>
        <w:t>“La actividad económica y la iniciativa privada son libres, dentro de los límites del bien común. Para su ejercicio, nadie podrá exigir permisos previos ni requisitos, sin autorización de la ley.</w:t>
      </w:r>
    </w:p>
    <w:p w14:paraId="7BAD148F" w14:textId="77777777" w:rsidR="00906524" w:rsidRPr="00491B1F" w:rsidRDefault="007475AA">
      <w:pPr>
        <w:shd w:val="clear" w:color="auto" w:fill="FFFFFF"/>
        <w:spacing w:after="160" w:line="240" w:lineRule="auto"/>
        <w:ind w:left="566" w:right="556"/>
        <w:jc w:val="both"/>
        <w:rPr>
          <w:i/>
        </w:rPr>
      </w:pPr>
      <w:r w:rsidRPr="00491B1F">
        <w:rPr>
          <w:i/>
        </w:rPr>
        <w:t>La libre competencia económica es un derecho de todos que supone responsabilidades.</w:t>
      </w:r>
    </w:p>
    <w:p w14:paraId="7BAD1490" w14:textId="77777777" w:rsidR="00906524" w:rsidRPr="00491B1F" w:rsidRDefault="007475AA">
      <w:pPr>
        <w:shd w:val="clear" w:color="auto" w:fill="FFFFFF"/>
        <w:spacing w:after="160" w:line="240" w:lineRule="auto"/>
        <w:ind w:left="566" w:right="556"/>
        <w:jc w:val="both"/>
        <w:rPr>
          <w:i/>
        </w:rPr>
      </w:pPr>
      <w:r w:rsidRPr="00491B1F">
        <w:rPr>
          <w:i/>
        </w:rPr>
        <w:t>La empresa, como base del desarrollo, tiene una función social que implica obligaciones. El Estado fortalecerá las organizaciones solidarias y estimulará el desarrollo empresarial.</w:t>
      </w:r>
    </w:p>
    <w:p w14:paraId="7BAD1491" w14:textId="77777777" w:rsidR="00906524" w:rsidRPr="00491B1F" w:rsidRDefault="007475AA">
      <w:pPr>
        <w:shd w:val="clear" w:color="auto" w:fill="FFFFFF"/>
        <w:spacing w:after="160" w:line="240" w:lineRule="auto"/>
        <w:ind w:left="566" w:right="556"/>
        <w:jc w:val="both"/>
        <w:rPr>
          <w:i/>
        </w:rPr>
      </w:pPr>
      <w:r w:rsidRPr="00491B1F">
        <w:rPr>
          <w:i/>
        </w:rPr>
        <w:t>El Estado, por mandato de la ley, impedirá que se obstruya o se restrinja la libertad económica y evitará o controlará cualquier abuso que personas o empresas hagan de su posición dominante en el mercado nacional.</w:t>
      </w:r>
    </w:p>
    <w:p w14:paraId="7BAD1492" w14:textId="77777777" w:rsidR="00906524" w:rsidRPr="00491B1F" w:rsidRDefault="007475AA">
      <w:pPr>
        <w:shd w:val="clear" w:color="auto" w:fill="FFFFFF"/>
        <w:spacing w:after="160" w:line="240" w:lineRule="auto"/>
        <w:ind w:left="566" w:right="556"/>
        <w:jc w:val="both"/>
        <w:rPr>
          <w:i/>
        </w:rPr>
      </w:pPr>
      <w:r w:rsidRPr="00491B1F">
        <w:rPr>
          <w:i/>
        </w:rPr>
        <w:t>La ley delimitará el alcance de la libertad económica cuando así lo exijan el interés social, el ambiente y el patrimonio cultural de la Nación.”</w:t>
      </w:r>
    </w:p>
    <w:p w14:paraId="7BAD1493" w14:textId="77777777" w:rsidR="00906524" w:rsidRPr="00491B1F" w:rsidRDefault="00906524">
      <w:pPr>
        <w:spacing w:line="240" w:lineRule="auto"/>
        <w:jc w:val="both"/>
      </w:pPr>
    </w:p>
    <w:p w14:paraId="7BAD1494" w14:textId="77777777" w:rsidR="00906524" w:rsidRPr="00491B1F" w:rsidRDefault="007475AA">
      <w:pPr>
        <w:spacing w:line="240" w:lineRule="auto"/>
        <w:rPr>
          <w:b/>
          <w:color w:val="333333"/>
        </w:rPr>
      </w:pPr>
      <w:r w:rsidRPr="00491B1F">
        <w:rPr>
          <w:b/>
          <w:color w:val="333333"/>
        </w:rPr>
        <w:t>LEYES</w:t>
      </w:r>
    </w:p>
    <w:p w14:paraId="7BAD1495" w14:textId="77777777" w:rsidR="00906524" w:rsidRPr="00491B1F" w:rsidRDefault="00906524">
      <w:pPr>
        <w:spacing w:line="240" w:lineRule="auto"/>
        <w:rPr>
          <w:b/>
          <w:color w:val="333333"/>
        </w:rPr>
      </w:pPr>
    </w:p>
    <w:p w14:paraId="7BAD1496" w14:textId="5271E461" w:rsidR="00906524" w:rsidRPr="00491B1F" w:rsidRDefault="00BD4E09">
      <w:pPr>
        <w:spacing w:line="240" w:lineRule="auto"/>
        <w:rPr>
          <w:i/>
        </w:rPr>
      </w:pPr>
      <w:r w:rsidRPr="00491B1F">
        <w:rPr>
          <w:b/>
        </w:rPr>
        <w:t>Ley 2470 de 2025</w:t>
      </w:r>
      <w:r w:rsidRPr="00491B1F">
        <w:t xml:space="preserve"> </w:t>
      </w:r>
      <w:r w:rsidR="007475AA" w:rsidRPr="00491B1F">
        <w:rPr>
          <w:i/>
        </w:rPr>
        <w:t xml:space="preserve">“Por medio de la cual se formulan lineamientos para la política pública a favor de los micronegocios barriales y vecinales del país y se dictan otras disposiciones”  </w:t>
      </w:r>
    </w:p>
    <w:p w14:paraId="7BAD1497" w14:textId="77777777" w:rsidR="00906524" w:rsidRPr="00491B1F" w:rsidRDefault="00906524">
      <w:pPr>
        <w:spacing w:line="240" w:lineRule="auto"/>
      </w:pPr>
    </w:p>
    <w:p w14:paraId="7BAD1498" w14:textId="77777777" w:rsidR="00906524" w:rsidRPr="00491B1F" w:rsidRDefault="00906524">
      <w:pPr>
        <w:spacing w:line="240" w:lineRule="auto"/>
      </w:pPr>
    </w:p>
    <w:p w14:paraId="7BAD1499" w14:textId="77777777" w:rsidR="00906524" w:rsidRPr="00491B1F" w:rsidRDefault="007475AA">
      <w:pPr>
        <w:spacing w:line="240" w:lineRule="auto"/>
      </w:pPr>
      <w:r w:rsidRPr="00491B1F">
        <w:rPr>
          <w:b/>
        </w:rPr>
        <w:t xml:space="preserve">Ley 2069 de 2020 </w:t>
      </w:r>
      <w:r w:rsidRPr="00491B1F">
        <w:rPr>
          <w:i/>
        </w:rPr>
        <w:t>“Por medio de la cual se impulsa el emprendimiento en Colombia.”</w:t>
      </w:r>
    </w:p>
    <w:p w14:paraId="7BAD149A" w14:textId="77777777" w:rsidR="00906524" w:rsidRPr="00491B1F" w:rsidRDefault="00906524">
      <w:pPr>
        <w:spacing w:line="240" w:lineRule="auto"/>
        <w:ind w:left="566"/>
        <w:rPr>
          <w:b/>
          <w:i/>
        </w:rPr>
      </w:pPr>
    </w:p>
    <w:p w14:paraId="7BAD149B" w14:textId="77777777" w:rsidR="00906524" w:rsidRPr="00491B1F" w:rsidRDefault="007475AA">
      <w:pPr>
        <w:spacing w:line="240" w:lineRule="auto"/>
        <w:jc w:val="both"/>
        <w:rPr>
          <w:b/>
        </w:rPr>
      </w:pPr>
      <w:r w:rsidRPr="00491B1F">
        <w:rPr>
          <w:b/>
        </w:rPr>
        <w:t xml:space="preserve">Artículo 1. Objeto. </w:t>
      </w:r>
    </w:p>
    <w:p w14:paraId="7BAD149C" w14:textId="77777777" w:rsidR="00906524" w:rsidRPr="00491B1F" w:rsidRDefault="00906524">
      <w:pPr>
        <w:spacing w:line="240" w:lineRule="auto"/>
        <w:jc w:val="both"/>
      </w:pPr>
    </w:p>
    <w:p w14:paraId="7BAD149D" w14:textId="77777777" w:rsidR="00906524" w:rsidRPr="00491B1F" w:rsidRDefault="007475AA">
      <w:pPr>
        <w:spacing w:line="240" w:lineRule="auto"/>
        <w:ind w:left="566" w:right="556"/>
        <w:jc w:val="both"/>
        <w:rPr>
          <w:i/>
        </w:rPr>
      </w:pPr>
      <w:r w:rsidRPr="00491B1F">
        <w:rPr>
          <w:i/>
        </w:rPr>
        <w:t>“La presente Ley tiene por objeto establecer un marco regulatorio que propicie el emprendimiento y el crecimiento, consolidación y sostenibilidad de las empresas, con el fin de aumentar el bienestar social y generar equidad.</w:t>
      </w:r>
    </w:p>
    <w:p w14:paraId="7BAD149E" w14:textId="77777777" w:rsidR="00906524" w:rsidRPr="00491B1F" w:rsidRDefault="00906524">
      <w:pPr>
        <w:spacing w:line="240" w:lineRule="auto"/>
        <w:ind w:left="566" w:right="556"/>
        <w:jc w:val="both"/>
        <w:rPr>
          <w:i/>
        </w:rPr>
      </w:pPr>
    </w:p>
    <w:p w14:paraId="7BAD149F" w14:textId="77777777" w:rsidR="00906524" w:rsidRPr="00491B1F" w:rsidRDefault="007475AA">
      <w:pPr>
        <w:spacing w:line="240" w:lineRule="auto"/>
        <w:ind w:left="566" w:right="556"/>
        <w:jc w:val="both"/>
        <w:rPr>
          <w:i/>
        </w:rPr>
      </w:pPr>
      <w:r w:rsidRPr="00491B1F">
        <w:rPr>
          <w:i/>
        </w:rPr>
        <w:t>Dicho marco delineará un enfoque regionalizado de acuerdo a las realidades socioeconómicas de cada región.”</w:t>
      </w:r>
    </w:p>
    <w:p w14:paraId="7BAD14A0" w14:textId="77777777" w:rsidR="00906524" w:rsidRPr="00491B1F" w:rsidRDefault="00906524">
      <w:pPr>
        <w:spacing w:line="240" w:lineRule="auto"/>
        <w:jc w:val="both"/>
      </w:pPr>
    </w:p>
    <w:p w14:paraId="7BAD14A2" w14:textId="16D5A8D6" w:rsidR="00906524" w:rsidRPr="00491B1F" w:rsidRDefault="007475AA">
      <w:pPr>
        <w:spacing w:before="180" w:after="180" w:line="360" w:lineRule="auto"/>
        <w:rPr>
          <w:b/>
          <w:i/>
        </w:rPr>
      </w:pPr>
      <w:r w:rsidRPr="00491B1F">
        <w:rPr>
          <w:b/>
        </w:rPr>
        <w:t xml:space="preserve">Ley 1429 de </w:t>
      </w:r>
      <w:r w:rsidR="00BD4E09" w:rsidRPr="00491B1F">
        <w:rPr>
          <w:b/>
        </w:rPr>
        <w:t>2010 “</w:t>
      </w:r>
      <w:r w:rsidRPr="00491B1F">
        <w:rPr>
          <w:i/>
        </w:rPr>
        <w:t>Por la cual se expide la Ley de Formalización y Generación de Empleo.”</w:t>
      </w:r>
    </w:p>
    <w:p w14:paraId="7BAD14A3" w14:textId="77777777" w:rsidR="00906524" w:rsidRPr="00491B1F" w:rsidRDefault="007475AA">
      <w:pPr>
        <w:spacing w:line="240" w:lineRule="auto"/>
      </w:pPr>
      <w:r w:rsidRPr="00491B1F">
        <w:rPr>
          <w:b/>
        </w:rPr>
        <w:t>Artículo 1o. Objeto.</w:t>
      </w:r>
      <w:r w:rsidRPr="00491B1F">
        <w:t xml:space="preserve"> </w:t>
      </w:r>
    </w:p>
    <w:p w14:paraId="7BAD14A4" w14:textId="77777777" w:rsidR="00906524" w:rsidRPr="00491B1F" w:rsidRDefault="00906524">
      <w:pPr>
        <w:spacing w:line="240" w:lineRule="auto"/>
      </w:pPr>
    </w:p>
    <w:p w14:paraId="7BAD14A5" w14:textId="77777777" w:rsidR="00906524" w:rsidRPr="00491B1F" w:rsidRDefault="007475AA">
      <w:pPr>
        <w:spacing w:line="240" w:lineRule="auto"/>
        <w:jc w:val="both"/>
        <w:rPr>
          <w:i/>
        </w:rPr>
      </w:pPr>
      <w:r w:rsidRPr="00491B1F">
        <w:rPr>
          <w:i/>
        </w:rPr>
        <w:t>“La presente ley tiene por objeto la formalización y la generación de empleo, con el fin de generar incentivos a la formalización en las etapas iniciales de la creación de empresas; de tal manera que aumenten los beneficios y disminuyan los costos de formalizarse.”</w:t>
      </w:r>
    </w:p>
    <w:p w14:paraId="7BAD14A6" w14:textId="77777777" w:rsidR="00906524" w:rsidRPr="00491B1F" w:rsidRDefault="00906524">
      <w:pPr>
        <w:spacing w:line="240" w:lineRule="auto"/>
        <w:jc w:val="both"/>
        <w:rPr>
          <w:b/>
        </w:rPr>
      </w:pPr>
    </w:p>
    <w:p w14:paraId="7BAD14A7" w14:textId="77777777" w:rsidR="00906524" w:rsidRPr="00491B1F" w:rsidRDefault="00906524">
      <w:pPr>
        <w:spacing w:line="240" w:lineRule="auto"/>
        <w:jc w:val="both"/>
        <w:rPr>
          <w:b/>
        </w:rPr>
      </w:pPr>
    </w:p>
    <w:p w14:paraId="7BAD14A8" w14:textId="062EFFF0" w:rsidR="00906524" w:rsidRPr="00491B1F" w:rsidRDefault="007475AA">
      <w:pPr>
        <w:spacing w:line="240" w:lineRule="auto"/>
        <w:jc w:val="both"/>
        <w:rPr>
          <w:i/>
        </w:rPr>
      </w:pPr>
      <w:r w:rsidRPr="00491B1F">
        <w:rPr>
          <w:b/>
        </w:rPr>
        <w:t xml:space="preserve">Ley 905 de </w:t>
      </w:r>
      <w:r w:rsidR="00BD4E09" w:rsidRPr="00491B1F">
        <w:rPr>
          <w:b/>
        </w:rPr>
        <w:t xml:space="preserve">2004 </w:t>
      </w:r>
      <w:r w:rsidR="00BD4E09" w:rsidRPr="00491B1F">
        <w:t>“</w:t>
      </w:r>
      <w:r w:rsidRPr="00491B1F">
        <w:rPr>
          <w:i/>
        </w:rPr>
        <w:t>Por medio de la cual se modifica la Ley 590 de 2000 sobre promoción del desarrollo de la micro, pequeña y mediana empresa colombiana y se dictan otras disposiciones”</w:t>
      </w:r>
    </w:p>
    <w:p w14:paraId="7BAD14A9" w14:textId="77777777" w:rsidR="00906524" w:rsidRPr="00491B1F" w:rsidRDefault="007475AA">
      <w:pPr>
        <w:spacing w:before="180" w:after="180" w:line="360" w:lineRule="auto"/>
      </w:pPr>
      <w:r w:rsidRPr="00491B1F">
        <w:rPr>
          <w:b/>
        </w:rPr>
        <w:t xml:space="preserve">Artículo 17.  </w:t>
      </w:r>
      <w:r w:rsidRPr="00491B1F">
        <w:t>El artículo 31 de la Ley 590 de 2000 quedará así:</w:t>
      </w:r>
    </w:p>
    <w:p w14:paraId="7BAD14AA" w14:textId="77777777" w:rsidR="00906524" w:rsidRPr="00491B1F" w:rsidRDefault="007475AA">
      <w:pPr>
        <w:spacing w:line="240" w:lineRule="auto"/>
        <w:ind w:left="566" w:right="556"/>
        <w:jc w:val="both"/>
        <w:rPr>
          <w:i/>
        </w:rPr>
      </w:pPr>
      <w:r w:rsidRPr="00491B1F">
        <w:rPr>
          <w:i/>
        </w:rPr>
        <w:t>“</w:t>
      </w:r>
    </w:p>
    <w:p w14:paraId="7BAD14AB" w14:textId="77777777" w:rsidR="00906524" w:rsidRPr="00491B1F" w:rsidRDefault="007475AA">
      <w:pPr>
        <w:spacing w:line="240" w:lineRule="auto"/>
        <w:ind w:left="566" w:right="556"/>
        <w:jc w:val="both"/>
        <w:rPr>
          <w:i/>
        </w:rPr>
      </w:pPr>
      <w:r w:rsidRPr="00491B1F">
        <w:rPr>
          <w:i/>
        </w:rPr>
        <w:t>Artículo 31. Programas educativos para Mipymes y de creación de empresas. El Sena, las universidades e institutos técnicos y tecnológicos, sin perjuicio de su régimen de autonomía, considerarán lo dispuesto en la presente ley a efecto de establecer diplomados, programas de educación no formal, programas de extensión y cátedras especiales para las Mipymes y a promover la iniciativa empresarial.</w:t>
      </w:r>
    </w:p>
    <w:p w14:paraId="7BAD14AC" w14:textId="77777777" w:rsidR="00906524" w:rsidRPr="00491B1F" w:rsidRDefault="007475AA">
      <w:pPr>
        <w:spacing w:line="240" w:lineRule="auto"/>
        <w:ind w:left="566" w:right="556"/>
        <w:jc w:val="both"/>
        <w:rPr>
          <w:i/>
        </w:rPr>
      </w:pPr>
      <w:r w:rsidRPr="00491B1F">
        <w:rPr>
          <w:i/>
        </w:rPr>
        <w:t>…”</w:t>
      </w:r>
    </w:p>
    <w:p w14:paraId="7BAD14AD" w14:textId="77777777" w:rsidR="00906524" w:rsidRPr="00491B1F" w:rsidRDefault="00906524">
      <w:pPr>
        <w:spacing w:line="240" w:lineRule="auto"/>
        <w:ind w:left="566" w:right="556"/>
        <w:jc w:val="both"/>
        <w:rPr>
          <w:i/>
        </w:rPr>
      </w:pPr>
    </w:p>
    <w:p w14:paraId="7BAD14AF" w14:textId="77777777" w:rsidR="00906524" w:rsidRPr="00491B1F" w:rsidRDefault="007475AA">
      <w:pPr>
        <w:spacing w:line="240" w:lineRule="auto"/>
        <w:rPr>
          <w:i/>
        </w:rPr>
      </w:pPr>
      <w:r w:rsidRPr="00491B1F">
        <w:rPr>
          <w:b/>
        </w:rPr>
        <w:t xml:space="preserve">Decreto Ley 1421 de 1993 </w:t>
      </w:r>
      <w:r w:rsidRPr="00491B1F">
        <w:rPr>
          <w:i/>
        </w:rPr>
        <w:t>“Por el cual se dicta el régimen especial para el Distrito Capital de Santafé de Bogotá”</w:t>
      </w:r>
    </w:p>
    <w:p w14:paraId="7BAD14B0" w14:textId="77777777" w:rsidR="00906524" w:rsidRPr="00491B1F" w:rsidRDefault="00906524">
      <w:pPr>
        <w:spacing w:line="240" w:lineRule="auto"/>
        <w:rPr>
          <w:i/>
        </w:rPr>
      </w:pPr>
    </w:p>
    <w:p w14:paraId="7BAD14B1" w14:textId="04BA731B" w:rsidR="00906524" w:rsidRPr="00491B1F" w:rsidRDefault="00BD4E09">
      <w:pPr>
        <w:spacing w:line="240" w:lineRule="auto"/>
        <w:jc w:val="both"/>
      </w:pPr>
      <w:r w:rsidRPr="00491B1F">
        <w:rPr>
          <w:b/>
        </w:rPr>
        <w:t>Artículo 12</w:t>
      </w:r>
      <w:r w:rsidR="007475AA" w:rsidRPr="00491B1F">
        <w:rPr>
          <w:b/>
        </w:rPr>
        <w:t>.</w:t>
      </w:r>
      <w:r w:rsidR="007475AA" w:rsidRPr="00491B1F">
        <w:t xml:space="preserve"> Atribuciones.</w:t>
      </w:r>
    </w:p>
    <w:p w14:paraId="7BAD14B2" w14:textId="77777777" w:rsidR="00906524" w:rsidRPr="00491B1F" w:rsidRDefault="00906524">
      <w:pPr>
        <w:spacing w:line="240" w:lineRule="auto"/>
        <w:jc w:val="both"/>
      </w:pPr>
    </w:p>
    <w:p w14:paraId="7BAD14B3" w14:textId="77777777" w:rsidR="00906524" w:rsidRPr="00491B1F" w:rsidRDefault="007475AA">
      <w:pPr>
        <w:spacing w:line="240" w:lineRule="auto"/>
        <w:ind w:left="566" w:right="556"/>
        <w:jc w:val="both"/>
        <w:rPr>
          <w:i/>
        </w:rPr>
      </w:pPr>
      <w:r w:rsidRPr="00491B1F">
        <w:rPr>
          <w:i/>
        </w:rPr>
        <w:t>“Corresponde al Concejo Distrital, de conformidad con la Constitución y a la ley:</w:t>
      </w:r>
    </w:p>
    <w:p w14:paraId="7BAD14B4" w14:textId="77777777" w:rsidR="00906524" w:rsidRPr="00491B1F" w:rsidRDefault="00906524">
      <w:pPr>
        <w:spacing w:line="240" w:lineRule="auto"/>
        <w:ind w:left="566" w:right="556"/>
        <w:jc w:val="both"/>
        <w:rPr>
          <w:i/>
        </w:rPr>
      </w:pPr>
    </w:p>
    <w:p w14:paraId="7BAD14B5" w14:textId="77777777" w:rsidR="00906524" w:rsidRPr="00491B1F" w:rsidRDefault="007475AA">
      <w:pPr>
        <w:spacing w:line="240" w:lineRule="auto"/>
        <w:ind w:left="566" w:right="556"/>
        <w:jc w:val="both"/>
        <w:rPr>
          <w:i/>
        </w:rPr>
      </w:pPr>
      <w:r w:rsidRPr="00491B1F">
        <w:rPr>
          <w:i/>
        </w:rPr>
        <w:t>1. Dictar las normas necesarias para garantizar el adecuado cumplimiento de las funciones y la eficiente prestación de los servicios a cargo del Distrito.</w:t>
      </w:r>
    </w:p>
    <w:p w14:paraId="7BAD14B6" w14:textId="77777777" w:rsidR="00906524" w:rsidRPr="00491B1F" w:rsidRDefault="00906524">
      <w:pPr>
        <w:spacing w:line="240" w:lineRule="auto"/>
        <w:ind w:left="566" w:right="556"/>
        <w:jc w:val="both"/>
        <w:rPr>
          <w:i/>
        </w:rPr>
      </w:pPr>
    </w:p>
    <w:p w14:paraId="7BAD14B7" w14:textId="77777777" w:rsidR="00906524" w:rsidRPr="00491B1F" w:rsidRDefault="007475AA">
      <w:pPr>
        <w:spacing w:line="240" w:lineRule="auto"/>
        <w:ind w:left="566" w:right="556"/>
        <w:jc w:val="both"/>
        <w:rPr>
          <w:i/>
        </w:rPr>
      </w:pPr>
      <w:r w:rsidRPr="00491B1F">
        <w:rPr>
          <w:i/>
        </w:rPr>
        <w:t>…”</w:t>
      </w:r>
    </w:p>
    <w:p w14:paraId="7BAD14B8" w14:textId="77777777" w:rsidR="00906524" w:rsidRPr="00491B1F" w:rsidRDefault="00906524">
      <w:pPr>
        <w:spacing w:line="240" w:lineRule="auto"/>
        <w:rPr>
          <w:b/>
          <w:color w:val="333333"/>
        </w:rPr>
      </w:pPr>
    </w:p>
    <w:p w14:paraId="7BAD14B9" w14:textId="77777777" w:rsidR="00906524" w:rsidRPr="00491B1F" w:rsidRDefault="007475AA">
      <w:pPr>
        <w:spacing w:line="240" w:lineRule="auto"/>
        <w:rPr>
          <w:b/>
          <w:color w:val="333333"/>
        </w:rPr>
      </w:pPr>
      <w:r w:rsidRPr="00491B1F">
        <w:rPr>
          <w:b/>
          <w:color w:val="333333"/>
        </w:rPr>
        <w:t>ACUERDOS DISTRITALES</w:t>
      </w:r>
    </w:p>
    <w:p w14:paraId="7BAD14BA" w14:textId="77777777" w:rsidR="00906524" w:rsidRPr="00491B1F" w:rsidRDefault="00906524">
      <w:pPr>
        <w:spacing w:line="240" w:lineRule="auto"/>
        <w:rPr>
          <w:b/>
          <w:color w:val="333333"/>
        </w:rPr>
      </w:pPr>
    </w:p>
    <w:p w14:paraId="7BAD14BB" w14:textId="77777777" w:rsidR="00906524" w:rsidRPr="00491B1F" w:rsidRDefault="007475AA">
      <w:pPr>
        <w:shd w:val="clear" w:color="auto" w:fill="FFFFFF"/>
        <w:spacing w:line="240" w:lineRule="auto"/>
        <w:jc w:val="both"/>
        <w:rPr>
          <w:i/>
          <w:color w:val="333333"/>
        </w:rPr>
      </w:pPr>
      <w:r w:rsidRPr="00491B1F">
        <w:rPr>
          <w:b/>
        </w:rPr>
        <w:t xml:space="preserve">Acuerdo 927 de 2024 </w:t>
      </w:r>
      <w:r w:rsidRPr="00491B1F">
        <w:t>“</w:t>
      </w:r>
      <w:r w:rsidRPr="00491B1F">
        <w:rPr>
          <w:i/>
        </w:rPr>
        <w:t>Por medio del cual se adopta el Plan de Desarrollo Económico, Social, Ambiental y de Obras Públicas del Distrito Capital 2024-2027 “Bogotá Camina Segura”</w:t>
      </w:r>
    </w:p>
    <w:p w14:paraId="7BAD14BC" w14:textId="77777777" w:rsidR="00906524" w:rsidRPr="00491B1F" w:rsidRDefault="00906524">
      <w:pPr>
        <w:spacing w:line="240" w:lineRule="auto"/>
        <w:rPr>
          <w:b/>
          <w:i/>
          <w:color w:val="333333"/>
        </w:rPr>
      </w:pPr>
    </w:p>
    <w:p w14:paraId="7BAD14BD" w14:textId="77777777" w:rsidR="00906524" w:rsidRPr="00491B1F" w:rsidRDefault="00906524">
      <w:pPr>
        <w:spacing w:line="240" w:lineRule="auto"/>
        <w:rPr>
          <w:b/>
          <w:color w:val="333333"/>
        </w:rPr>
      </w:pPr>
    </w:p>
    <w:p w14:paraId="7BAD14BE" w14:textId="77777777" w:rsidR="00906524" w:rsidRPr="00491B1F" w:rsidRDefault="007475AA">
      <w:pPr>
        <w:spacing w:line="240" w:lineRule="auto"/>
        <w:jc w:val="both"/>
      </w:pPr>
      <w:r w:rsidRPr="00491B1F">
        <w:rPr>
          <w:b/>
        </w:rPr>
        <w:t xml:space="preserve">Artículo 12. </w:t>
      </w:r>
      <w:r w:rsidRPr="00491B1F">
        <w:t>Programas del objetivo estratégico “Bogotá confía en su potencial”. Adóptense los siguientes programas del objetivo “Bogotá confía en su potencial”:</w:t>
      </w:r>
    </w:p>
    <w:p w14:paraId="7BAD14BF" w14:textId="77777777" w:rsidR="00906524" w:rsidRPr="00491B1F" w:rsidRDefault="00906524">
      <w:pPr>
        <w:spacing w:line="240" w:lineRule="auto"/>
      </w:pPr>
    </w:p>
    <w:p w14:paraId="7BAD14C0" w14:textId="77777777" w:rsidR="00906524" w:rsidRPr="00491B1F" w:rsidRDefault="007475AA">
      <w:pPr>
        <w:shd w:val="clear" w:color="auto" w:fill="FFFFFF"/>
        <w:spacing w:line="240" w:lineRule="auto"/>
        <w:jc w:val="both"/>
        <w:rPr>
          <w:b/>
        </w:rPr>
      </w:pPr>
      <w:r w:rsidRPr="00491B1F">
        <w:rPr>
          <w:b/>
        </w:rPr>
        <w:t xml:space="preserve">12.4. Programa 19. Desarrollo empresarial, productividad y empleo. </w:t>
      </w:r>
    </w:p>
    <w:p w14:paraId="7BAD14C1" w14:textId="77777777" w:rsidR="00906524" w:rsidRPr="00491B1F" w:rsidRDefault="00906524">
      <w:pPr>
        <w:shd w:val="clear" w:color="auto" w:fill="FFFFFF"/>
        <w:spacing w:line="240" w:lineRule="auto"/>
        <w:jc w:val="both"/>
      </w:pPr>
    </w:p>
    <w:p w14:paraId="7BAD14C2"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7BAD14C3" w14:textId="77777777" w:rsidR="00906524" w:rsidRPr="00491B1F" w:rsidRDefault="00906524">
      <w:pPr>
        <w:pBdr>
          <w:top w:val="nil"/>
          <w:left w:val="nil"/>
          <w:bottom w:val="nil"/>
          <w:right w:val="nil"/>
          <w:between w:val="nil"/>
        </w:pBdr>
        <w:spacing w:line="240" w:lineRule="auto"/>
        <w:ind w:left="566" w:right="556"/>
        <w:jc w:val="both"/>
        <w:rPr>
          <w:i/>
        </w:rPr>
      </w:pPr>
    </w:p>
    <w:p w14:paraId="7BAD14C4"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w:t>
      </w:r>
    </w:p>
    <w:p w14:paraId="7BAD14C5" w14:textId="77777777" w:rsidR="00906524" w:rsidRPr="00491B1F" w:rsidRDefault="00906524">
      <w:pPr>
        <w:pBdr>
          <w:top w:val="nil"/>
          <w:left w:val="nil"/>
          <w:bottom w:val="nil"/>
          <w:right w:val="nil"/>
          <w:between w:val="nil"/>
        </w:pBdr>
        <w:spacing w:line="240" w:lineRule="auto"/>
        <w:ind w:left="566" w:right="556"/>
        <w:jc w:val="both"/>
        <w:rPr>
          <w:i/>
        </w:rPr>
      </w:pPr>
    </w:p>
    <w:p w14:paraId="7BAD14C6"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Mipymes y los micronegocios, y que se desbordan con los atrasos de las obras, lo cual impide que se desarrollen, sean productivas y que genere empleo en la ciudad.</w:t>
      </w:r>
    </w:p>
    <w:p w14:paraId="7BAD14C7"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w:t>
      </w:r>
    </w:p>
    <w:p w14:paraId="7BAD14C8" w14:textId="77777777" w:rsidR="00906524" w:rsidRPr="00491B1F" w:rsidRDefault="007475AA">
      <w:pPr>
        <w:shd w:val="clear" w:color="auto" w:fill="FFFFFF"/>
        <w:spacing w:line="240" w:lineRule="auto"/>
        <w:jc w:val="both"/>
        <w:rPr>
          <w:b/>
          <w:color w:val="333333"/>
        </w:rPr>
      </w:pPr>
      <w:r w:rsidRPr="00491B1F">
        <w:rPr>
          <w:b/>
          <w:color w:val="333333"/>
        </w:rPr>
        <w:t xml:space="preserve"> </w:t>
      </w:r>
    </w:p>
    <w:p w14:paraId="7BAD14C9" w14:textId="77777777" w:rsidR="00906524" w:rsidRPr="00491B1F" w:rsidRDefault="007475AA">
      <w:pPr>
        <w:spacing w:line="240" w:lineRule="auto"/>
        <w:jc w:val="both"/>
        <w:rPr>
          <w:b/>
        </w:rPr>
      </w:pPr>
      <w:r w:rsidRPr="00491B1F">
        <w:rPr>
          <w:b/>
        </w:rPr>
        <w:t xml:space="preserve">12.5. Programa 20. Promoción del emprendimiento formal, equitativo e incluyente. </w:t>
      </w:r>
    </w:p>
    <w:p w14:paraId="7BAD14CA" w14:textId="77777777" w:rsidR="00906524" w:rsidRPr="00491B1F" w:rsidRDefault="00906524">
      <w:pPr>
        <w:spacing w:line="240" w:lineRule="auto"/>
        <w:jc w:val="both"/>
        <w:rPr>
          <w:b/>
        </w:rPr>
      </w:pPr>
    </w:p>
    <w:p w14:paraId="7BAD14CB"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7BAD14CC" w14:textId="77777777" w:rsidR="00906524" w:rsidRPr="00491B1F" w:rsidRDefault="00906524">
      <w:pPr>
        <w:pBdr>
          <w:top w:val="nil"/>
          <w:left w:val="nil"/>
          <w:bottom w:val="nil"/>
          <w:right w:val="nil"/>
          <w:between w:val="nil"/>
        </w:pBdr>
        <w:spacing w:line="240" w:lineRule="auto"/>
        <w:ind w:left="566" w:right="556"/>
        <w:jc w:val="both"/>
        <w:rPr>
          <w:i/>
        </w:rPr>
      </w:pPr>
    </w:p>
    <w:p w14:paraId="7BAD14CD"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w:t>
      </w:r>
    </w:p>
    <w:p w14:paraId="7BAD14CE" w14:textId="77777777" w:rsidR="00906524" w:rsidRPr="00491B1F" w:rsidRDefault="00906524">
      <w:pPr>
        <w:pBdr>
          <w:top w:val="nil"/>
          <w:left w:val="nil"/>
          <w:bottom w:val="nil"/>
          <w:right w:val="nil"/>
          <w:between w:val="nil"/>
        </w:pBdr>
        <w:spacing w:line="240" w:lineRule="auto"/>
        <w:ind w:left="566" w:right="556"/>
        <w:jc w:val="both"/>
        <w:rPr>
          <w:i/>
        </w:rPr>
      </w:pPr>
    </w:p>
    <w:p w14:paraId="7BAD14CF"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Como parte de la inclusión y mecanismos financieros, se promoverán el acceso a financiamiento formal y/o la asignación de recursos no reembolsables. Los mecanismos de financiación podrán incluir financiación a la tasa de interés. Dichos instrumentos serán clave para cubrir necesidades de liquidez, capital de trabajo y modernización de los micronegocios y las micro, y pequeñas, medianas empresas, incluyendo aquellas afectadas por los retrasos en las obras públicas de la ciudad.</w:t>
      </w:r>
    </w:p>
    <w:p w14:paraId="7BAD14D0" w14:textId="77777777" w:rsidR="00906524" w:rsidRPr="00491B1F" w:rsidRDefault="007475AA">
      <w:pPr>
        <w:pBdr>
          <w:top w:val="nil"/>
          <w:left w:val="nil"/>
          <w:bottom w:val="nil"/>
          <w:right w:val="nil"/>
          <w:between w:val="nil"/>
        </w:pBdr>
        <w:spacing w:line="240" w:lineRule="auto"/>
        <w:ind w:left="566" w:right="556"/>
        <w:jc w:val="both"/>
        <w:rPr>
          <w:i/>
        </w:rPr>
      </w:pPr>
      <w:r w:rsidRPr="00491B1F">
        <w:rPr>
          <w:i/>
        </w:rPr>
        <w:t>…”</w:t>
      </w:r>
    </w:p>
    <w:p w14:paraId="7BAD14D1" w14:textId="77777777" w:rsidR="00906524" w:rsidRPr="00491B1F" w:rsidRDefault="00906524">
      <w:pPr>
        <w:shd w:val="clear" w:color="auto" w:fill="FFFFFF"/>
        <w:tabs>
          <w:tab w:val="left" w:pos="284"/>
        </w:tabs>
        <w:spacing w:after="160" w:line="240" w:lineRule="auto"/>
        <w:ind w:right="629"/>
        <w:jc w:val="both"/>
        <w:rPr>
          <w:color w:val="181717"/>
        </w:rPr>
      </w:pPr>
    </w:p>
    <w:p w14:paraId="7BAD14D2" w14:textId="77777777" w:rsidR="00906524" w:rsidRPr="00491B1F" w:rsidRDefault="007475AA">
      <w:pPr>
        <w:shd w:val="clear" w:color="auto" w:fill="FFFFFF"/>
        <w:tabs>
          <w:tab w:val="left" w:pos="284"/>
        </w:tabs>
        <w:spacing w:line="240" w:lineRule="auto"/>
        <w:jc w:val="both"/>
        <w:rPr>
          <w:color w:val="181717"/>
        </w:rPr>
      </w:pPr>
      <w:r w:rsidRPr="00491B1F">
        <w:rPr>
          <w:b/>
          <w:color w:val="181717"/>
        </w:rPr>
        <w:t>Artículo 93.</w:t>
      </w:r>
      <w:r w:rsidRPr="00491B1F">
        <w:rPr>
          <w:color w:val="181717"/>
        </w:rPr>
        <w:t xml:space="preserve"> Apoyo financiero al tejido productivo. </w:t>
      </w:r>
    </w:p>
    <w:p w14:paraId="7BAD14D3" w14:textId="77777777" w:rsidR="00906524" w:rsidRPr="00491B1F" w:rsidRDefault="00906524">
      <w:pPr>
        <w:shd w:val="clear" w:color="auto" w:fill="FFFFFF"/>
        <w:tabs>
          <w:tab w:val="left" w:pos="284"/>
        </w:tabs>
        <w:spacing w:line="240" w:lineRule="auto"/>
        <w:jc w:val="both"/>
        <w:rPr>
          <w:color w:val="181717"/>
        </w:rPr>
      </w:pPr>
    </w:p>
    <w:p w14:paraId="7BAD14D4" w14:textId="77777777" w:rsidR="00906524" w:rsidRPr="00491B1F" w:rsidRDefault="007475AA">
      <w:pPr>
        <w:shd w:val="clear" w:color="auto" w:fill="FFFFFF"/>
        <w:tabs>
          <w:tab w:val="left" w:pos="284"/>
        </w:tabs>
        <w:spacing w:line="240" w:lineRule="auto"/>
        <w:ind w:left="566" w:right="556"/>
        <w:jc w:val="both"/>
        <w:rPr>
          <w:i/>
        </w:rPr>
      </w:pPr>
      <w:r w:rsidRPr="00491B1F">
        <w:rPr>
          <w:i/>
        </w:rPr>
        <w:t>“La Administración Distrital, a través del Sector Desarrollo Económico desarrollará programas y estrategias para apoyar financieramente a los Micronegocios, Micro, pequeñas y medianas empresas domiciliada en Bogotá D.C., mediante la puesta en marcha de créditos con tasa compensada, la operación de líneas de crédito, la asignación de recursos no reembolsables, y, en general, la implementación de otros mecanismos alternativos de financiamiento. Para efectos de este artículo, el término Micronegocio significa una unidad económica conformada desde una (1) hasta nueve (9) personas ocupadas, que desarrolla una actividad productiva de bienes o servicios, con el objeto de obtener un ingreso, actuando en calidad de propietario o arrendatario de los medios de producción.</w:t>
      </w:r>
    </w:p>
    <w:p w14:paraId="7BAD14D5" w14:textId="77777777" w:rsidR="00906524" w:rsidRPr="00491B1F" w:rsidRDefault="007475AA">
      <w:pPr>
        <w:shd w:val="clear" w:color="auto" w:fill="FFFFFF"/>
        <w:tabs>
          <w:tab w:val="left" w:pos="284"/>
        </w:tabs>
        <w:spacing w:line="240" w:lineRule="auto"/>
        <w:ind w:left="566" w:right="556"/>
        <w:jc w:val="both"/>
        <w:rPr>
          <w:i/>
        </w:rPr>
      </w:pPr>
      <w:r w:rsidRPr="00491B1F">
        <w:rPr>
          <w:i/>
        </w:rPr>
        <w:t xml:space="preserve"> </w:t>
      </w:r>
    </w:p>
    <w:p w14:paraId="7BAD14D6" w14:textId="77777777" w:rsidR="00906524" w:rsidRPr="00491B1F" w:rsidRDefault="007475AA">
      <w:pPr>
        <w:shd w:val="clear" w:color="auto" w:fill="FFFFFF"/>
        <w:tabs>
          <w:tab w:val="left" w:pos="284"/>
        </w:tabs>
        <w:spacing w:line="240" w:lineRule="auto"/>
        <w:ind w:left="566" w:right="556"/>
        <w:jc w:val="both"/>
        <w:rPr>
          <w:color w:val="181717"/>
        </w:rPr>
      </w:pPr>
      <w:r w:rsidRPr="00491B1F">
        <w:rPr>
          <w:i/>
        </w:rPr>
        <w:t>Parágrafo. Dentro de la línea de financiación de los micronegocios, las estrategias de apoyo financiero que lleguen a implementarse se promoverán aquellas unidades económicas conformadas única o mayoritariamente por mujeres, jóvenes, personas mayores y demás poblaciones vulnerables que se prioricen.”</w:t>
      </w:r>
    </w:p>
    <w:p w14:paraId="7BAD14D8" w14:textId="77777777" w:rsidR="00906524" w:rsidRPr="00491B1F" w:rsidRDefault="007475AA">
      <w:pPr>
        <w:shd w:val="clear" w:color="auto" w:fill="FFFFFF"/>
        <w:tabs>
          <w:tab w:val="left" w:pos="284"/>
        </w:tabs>
        <w:spacing w:after="160" w:line="240" w:lineRule="auto"/>
        <w:ind w:right="629"/>
        <w:jc w:val="both"/>
        <w:rPr>
          <w:color w:val="181717"/>
        </w:rPr>
      </w:pPr>
      <w:r w:rsidRPr="00491B1F">
        <w:rPr>
          <w:b/>
          <w:color w:val="181717"/>
        </w:rPr>
        <w:t>Artículo 110.</w:t>
      </w:r>
      <w:r w:rsidRPr="00491B1F">
        <w:rPr>
          <w:color w:val="181717"/>
        </w:rPr>
        <w:t xml:space="preserve"> Alianzas para la inclusión financiera y combatir el "gota a gota" en micronegocios. </w:t>
      </w:r>
    </w:p>
    <w:p w14:paraId="7BAD14D9" w14:textId="77777777" w:rsidR="00906524" w:rsidRPr="00491B1F" w:rsidRDefault="00906524">
      <w:pPr>
        <w:shd w:val="clear" w:color="auto" w:fill="FFFFFF"/>
        <w:tabs>
          <w:tab w:val="left" w:pos="284"/>
        </w:tabs>
        <w:spacing w:line="240" w:lineRule="auto"/>
        <w:jc w:val="both"/>
        <w:rPr>
          <w:color w:val="181717"/>
        </w:rPr>
      </w:pPr>
    </w:p>
    <w:p w14:paraId="7BAD14DA" w14:textId="77777777" w:rsidR="00906524" w:rsidRPr="00491B1F" w:rsidRDefault="007475AA">
      <w:pPr>
        <w:shd w:val="clear" w:color="auto" w:fill="FFFFFF"/>
        <w:tabs>
          <w:tab w:val="left" w:pos="284"/>
        </w:tabs>
        <w:spacing w:line="240" w:lineRule="auto"/>
        <w:ind w:left="566" w:right="556"/>
        <w:jc w:val="both"/>
        <w:rPr>
          <w:i/>
        </w:rPr>
      </w:pPr>
      <w:r w:rsidRPr="00491B1F">
        <w:rPr>
          <w:i/>
        </w:rPr>
        <w:t>“El Sector de Desarrollo Económico podrá desarrollar y ejecutar programas para facilitar los microcréditos, como instrumento de creación, formalización, fortalecimiento, inclusión financiera y combatir el gota a gota de los micronegocios, con entidades sin ánimo de lucro, entidades vigiladas por la Superintendencia Financiera, por la Superintendencia de la Economía Solidaria y/o con Sociedades Comerciales que otorguen líneas de financiamiento o de microcrédito en desarrollo de su objeto social, dentro de los parámetros establecidos por la ley.</w:t>
      </w:r>
    </w:p>
    <w:p w14:paraId="7BAD14DB" w14:textId="77777777" w:rsidR="00906524" w:rsidRPr="00491B1F" w:rsidRDefault="007475AA">
      <w:pPr>
        <w:shd w:val="clear" w:color="auto" w:fill="FFFFFF"/>
        <w:tabs>
          <w:tab w:val="left" w:pos="284"/>
        </w:tabs>
        <w:spacing w:line="240" w:lineRule="auto"/>
        <w:ind w:left="566" w:right="556"/>
        <w:jc w:val="both"/>
        <w:rPr>
          <w:i/>
        </w:rPr>
      </w:pPr>
      <w:r w:rsidRPr="00491B1F">
        <w:rPr>
          <w:i/>
        </w:rPr>
        <w:t xml:space="preserve"> </w:t>
      </w:r>
    </w:p>
    <w:p w14:paraId="7BAD14DC" w14:textId="77777777" w:rsidR="00906524" w:rsidRPr="00491B1F" w:rsidRDefault="007475AA">
      <w:pPr>
        <w:shd w:val="clear" w:color="auto" w:fill="FFFFFF"/>
        <w:tabs>
          <w:tab w:val="left" w:pos="284"/>
        </w:tabs>
        <w:spacing w:line="240" w:lineRule="auto"/>
        <w:ind w:left="566" w:right="556"/>
        <w:jc w:val="both"/>
        <w:rPr>
          <w:i/>
        </w:rPr>
      </w:pPr>
      <w:r w:rsidRPr="00491B1F">
        <w:rPr>
          <w:i/>
        </w:rPr>
        <w:t>Para lograr los objetivos mencionados, el Sector de Desarrollo Económico con las entidades establecidas en el párrafo anterior, podrá suscribir convenios, acuerdos, alianzas o cualquier tipo de mutuo entendimiento, con o sin transferencia de recursos, para la ejecución de programas, planes y proyectos de microcréditos con microempresarios formales e informales en el Distrito Capital.”</w:t>
      </w:r>
    </w:p>
    <w:p w14:paraId="7BAD14DD" w14:textId="77777777" w:rsidR="00906524" w:rsidRPr="00491B1F" w:rsidRDefault="007475AA">
      <w:pPr>
        <w:shd w:val="clear" w:color="auto" w:fill="FFFFFF"/>
        <w:tabs>
          <w:tab w:val="left" w:pos="284"/>
        </w:tabs>
        <w:spacing w:line="240" w:lineRule="auto"/>
        <w:jc w:val="both"/>
        <w:rPr>
          <w:b/>
          <w:color w:val="333333"/>
        </w:rPr>
      </w:pPr>
      <w:r w:rsidRPr="00491B1F">
        <w:rPr>
          <w:b/>
          <w:color w:val="333333"/>
        </w:rPr>
        <w:t xml:space="preserve"> </w:t>
      </w:r>
    </w:p>
    <w:p w14:paraId="7BAD14DE" w14:textId="77777777" w:rsidR="00906524" w:rsidRPr="00491B1F" w:rsidRDefault="007475AA">
      <w:pPr>
        <w:shd w:val="clear" w:color="auto" w:fill="FFFFFF"/>
        <w:tabs>
          <w:tab w:val="left" w:pos="284"/>
        </w:tabs>
        <w:spacing w:after="160" w:line="240" w:lineRule="auto"/>
        <w:ind w:right="629"/>
        <w:jc w:val="both"/>
        <w:rPr>
          <w:color w:val="181717"/>
        </w:rPr>
      </w:pPr>
      <w:r w:rsidRPr="00491B1F">
        <w:rPr>
          <w:b/>
          <w:color w:val="181717"/>
        </w:rPr>
        <w:t>Artículo 115. F</w:t>
      </w:r>
      <w:r w:rsidRPr="00491B1F">
        <w:rPr>
          <w:color w:val="181717"/>
        </w:rPr>
        <w:t xml:space="preserve">ondo para el Desarrollo de los Micronegocios de Bogotá FONDEM. </w:t>
      </w:r>
    </w:p>
    <w:p w14:paraId="7BAD14DF" w14:textId="77777777" w:rsidR="00906524" w:rsidRPr="00491B1F" w:rsidRDefault="007475AA">
      <w:pPr>
        <w:shd w:val="clear" w:color="auto" w:fill="FFFFFF"/>
        <w:tabs>
          <w:tab w:val="left" w:pos="284"/>
        </w:tabs>
        <w:spacing w:after="160" w:line="240" w:lineRule="auto"/>
        <w:ind w:left="566" w:right="629"/>
        <w:jc w:val="both"/>
        <w:rPr>
          <w:i/>
        </w:rPr>
      </w:pPr>
      <w:r w:rsidRPr="00491B1F">
        <w:rPr>
          <w:i/>
        </w:rPr>
        <w:t>“Créase el fondo cuenta como una cuenta especial sin personería jurídica de la Secretaría de Desarrollo Económico para el desarrollo de los micronegocios de Bogotá – FONDEM para el manejo presupuestal, contable y de tesorería de los recursos financieros destinados a proyectos de desarrollo de las actividades económicas asociadas a los micronegocios en la ciudad de Bogotá D.C.</w:t>
      </w:r>
    </w:p>
    <w:p w14:paraId="7BAD14E0" w14:textId="77777777" w:rsidR="00906524" w:rsidRPr="00491B1F" w:rsidRDefault="007475AA">
      <w:pPr>
        <w:shd w:val="clear" w:color="auto" w:fill="FFFFFF"/>
        <w:tabs>
          <w:tab w:val="left" w:pos="284"/>
        </w:tabs>
        <w:spacing w:after="160" w:line="240" w:lineRule="auto"/>
        <w:ind w:left="566" w:right="629"/>
        <w:jc w:val="both"/>
        <w:rPr>
          <w:color w:val="181717"/>
        </w:rPr>
      </w:pPr>
      <w:r w:rsidRPr="00491B1F">
        <w:rPr>
          <w:i/>
        </w:rPr>
        <w:t>En el fondo cuenta podrán concurrir recursos provenientes de participación de terceros del sector privado, de cooperación nacional o internacional o donantes de otra naturaleza, con el objetivo de garantizar la implementación programas relacionados con el aumento de talento humano, actividad productiva de empresarios y emprendedores y economía popular de la ciudad. El fondo cuenta no podrá ser f</w:t>
      </w:r>
      <w:r w:rsidRPr="00491B1F">
        <w:rPr>
          <w:color w:val="181717"/>
        </w:rPr>
        <w:t>inanciado con aportes del Distrito que provengan de recursos de crédito.</w:t>
      </w:r>
    </w:p>
    <w:p w14:paraId="7BAD14E1" w14:textId="77777777" w:rsidR="00906524" w:rsidRPr="00491B1F" w:rsidRDefault="007475AA">
      <w:pPr>
        <w:shd w:val="clear" w:color="auto" w:fill="FFFFFF"/>
        <w:tabs>
          <w:tab w:val="left" w:pos="284"/>
        </w:tabs>
        <w:spacing w:after="160" w:line="240" w:lineRule="auto"/>
        <w:ind w:left="566" w:right="629"/>
        <w:jc w:val="both"/>
        <w:rPr>
          <w:color w:val="181717"/>
        </w:rPr>
      </w:pPr>
      <w:r w:rsidRPr="00491B1F">
        <w:rPr>
          <w:color w:val="181717"/>
        </w:rPr>
        <w:t>…”</w:t>
      </w:r>
    </w:p>
    <w:p w14:paraId="2523B49C" w14:textId="2460438F" w:rsidR="003D5FF7" w:rsidRPr="00491B1F" w:rsidRDefault="003D5FF7" w:rsidP="00C569D9">
      <w:pPr>
        <w:spacing w:line="240" w:lineRule="auto"/>
        <w:rPr>
          <w:b/>
          <w:color w:val="333333"/>
        </w:rPr>
      </w:pPr>
      <w:r w:rsidRPr="00491B1F">
        <w:rPr>
          <w:b/>
          <w:color w:val="333333"/>
        </w:rPr>
        <w:t>OBJETIVOS DE DESARROLLO SOSTENIBLE – ODS</w:t>
      </w:r>
      <w:r w:rsidR="00374267" w:rsidRPr="00491B1F">
        <w:rPr>
          <w:rStyle w:val="Refdenotaalpie"/>
          <w:b/>
          <w:color w:val="333333"/>
        </w:rPr>
        <w:footnoteReference w:id="7"/>
      </w:r>
    </w:p>
    <w:p w14:paraId="46DD1C93" w14:textId="77777777" w:rsidR="00C569D9" w:rsidRPr="00491B1F" w:rsidRDefault="00C569D9" w:rsidP="00C569D9">
      <w:pPr>
        <w:spacing w:line="240" w:lineRule="auto"/>
        <w:rPr>
          <w:b/>
          <w:color w:val="333333"/>
        </w:rPr>
      </w:pPr>
    </w:p>
    <w:p w14:paraId="7C2ABE2A" w14:textId="1AED56E5" w:rsidR="003D5FF7" w:rsidRPr="00491B1F" w:rsidRDefault="003D5FF7" w:rsidP="00C569D9">
      <w:pPr>
        <w:shd w:val="clear" w:color="auto" w:fill="FFFFFF"/>
        <w:tabs>
          <w:tab w:val="left" w:pos="284"/>
        </w:tabs>
        <w:spacing w:after="160" w:line="240" w:lineRule="auto"/>
        <w:ind w:right="629"/>
        <w:jc w:val="both"/>
        <w:rPr>
          <w:color w:val="181717"/>
          <w:lang w:val="es-CO"/>
        </w:rPr>
      </w:pPr>
      <w:r w:rsidRPr="00491B1F">
        <w:rPr>
          <w:color w:val="181717"/>
          <w:lang w:val="es-CO"/>
        </w:rPr>
        <w:t>El presente Proyecto de Acuerdo se encuentra alineado con la Agenda 2030 de Naciones Unidas y contribuye directamente al cumplimiento de los siguientes Objetivos de Desarrollo Sostenible</w:t>
      </w:r>
      <w:r w:rsidR="00C569D9" w:rsidRPr="00491B1F">
        <w:rPr>
          <w:color w:val="181717"/>
          <w:lang w:val="es-CO"/>
        </w:rPr>
        <w:t xml:space="preserve">. </w:t>
      </w:r>
      <w:r w:rsidR="00C569D9" w:rsidRPr="00491B1F">
        <w:rPr>
          <w:color w:val="181717"/>
        </w:rPr>
        <w:t xml:space="preserve">Se alinea, en particular con el </w:t>
      </w:r>
      <w:r w:rsidR="00C569D9" w:rsidRPr="00491B1F">
        <w:rPr>
          <w:b/>
          <w:bCs/>
          <w:color w:val="181717"/>
        </w:rPr>
        <w:t>ODS 1</w:t>
      </w:r>
      <w:r w:rsidR="00C569D9" w:rsidRPr="00491B1F">
        <w:rPr>
          <w:color w:val="181717"/>
        </w:rPr>
        <w:t xml:space="preserve"> (Fin de la pobreza), al fortalecer los ingresos de las unidades económicas de base barrial; el </w:t>
      </w:r>
      <w:r w:rsidR="00C569D9" w:rsidRPr="00491B1F">
        <w:rPr>
          <w:b/>
          <w:bCs/>
          <w:color w:val="181717"/>
        </w:rPr>
        <w:t>ODS 8</w:t>
      </w:r>
      <w:r w:rsidR="00C569D9" w:rsidRPr="00491B1F">
        <w:rPr>
          <w:color w:val="181717"/>
        </w:rPr>
        <w:t xml:space="preserve"> (Trabajo decente y crecimiento económico), mediante el fomento del emprendimiento formal y la inclusión financiera; y el </w:t>
      </w:r>
      <w:r w:rsidR="00C569D9" w:rsidRPr="00491B1F">
        <w:rPr>
          <w:b/>
          <w:bCs/>
          <w:color w:val="181717"/>
        </w:rPr>
        <w:t>ODS 10</w:t>
      </w:r>
      <w:r w:rsidR="00C569D9" w:rsidRPr="00491B1F">
        <w:rPr>
          <w:color w:val="181717"/>
        </w:rPr>
        <w:t xml:space="preserve"> (Reducción de las desigualdades), al priorizar poblaciones vulnerables en los programas de apoyo a micronegocios. </w:t>
      </w:r>
    </w:p>
    <w:p w14:paraId="7BAD14E3" w14:textId="77777777" w:rsidR="00906524" w:rsidRPr="00491B1F" w:rsidRDefault="007475AA">
      <w:pPr>
        <w:numPr>
          <w:ilvl w:val="0"/>
          <w:numId w:val="2"/>
        </w:numPr>
        <w:tabs>
          <w:tab w:val="left" w:pos="284"/>
        </w:tabs>
        <w:spacing w:line="240" w:lineRule="auto"/>
        <w:jc w:val="both"/>
        <w:rPr>
          <w:b/>
        </w:rPr>
      </w:pPr>
      <w:r w:rsidRPr="00491B1F">
        <w:rPr>
          <w:b/>
        </w:rPr>
        <w:t xml:space="preserve"> IMPACTO FISCAL </w:t>
      </w:r>
    </w:p>
    <w:p w14:paraId="7BAD14E4" w14:textId="77777777" w:rsidR="00906524" w:rsidRPr="00491B1F" w:rsidRDefault="007475AA">
      <w:pPr>
        <w:shd w:val="clear" w:color="auto" w:fill="FFFFFF"/>
        <w:spacing w:before="240" w:after="240" w:line="240" w:lineRule="auto"/>
        <w:jc w:val="both"/>
        <w:rPr>
          <w:color w:val="181717"/>
        </w:rPr>
      </w:pPr>
      <w:r w:rsidRPr="00491B1F">
        <w:rPr>
          <w:color w:val="181717"/>
        </w:rPr>
        <w:t xml:space="preserve">Teniendo en cuenta que el artículo 7° de la Ley 819 de 2003, establece lo siguiente: </w:t>
      </w:r>
    </w:p>
    <w:p w14:paraId="7BAD14E5" w14:textId="77777777" w:rsidR="00906524" w:rsidRPr="00491B1F" w:rsidRDefault="007475AA">
      <w:pPr>
        <w:shd w:val="clear" w:color="auto" w:fill="FFFFFF"/>
        <w:spacing w:before="240" w:after="240" w:line="240" w:lineRule="auto"/>
        <w:ind w:left="708" w:right="697"/>
        <w:jc w:val="both"/>
        <w:rPr>
          <w:i/>
          <w:color w:val="181717"/>
        </w:rPr>
      </w:pPr>
      <w:r w:rsidRPr="00491B1F">
        <w:rPr>
          <w:i/>
          <w:color w:val="181717"/>
        </w:rPr>
        <w:t>“Análisis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7BAD14E6" w14:textId="77777777" w:rsidR="00906524" w:rsidRPr="00491B1F" w:rsidRDefault="007475AA">
      <w:pPr>
        <w:shd w:val="clear" w:color="auto" w:fill="FFFFFF"/>
        <w:spacing w:before="240" w:after="240" w:line="240" w:lineRule="auto"/>
        <w:ind w:left="708" w:right="697"/>
        <w:jc w:val="both"/>
        <w:rPr>
          <w:i/>
          <w:color w:val="181717"/>
        </w:rPr>
      </w:pPr>
      <w:r w:rsidRPr="00491B1F">
        <w:rPr>
          <w:i/>
          <w:color w:val="181717"/>
        </w:rPr>
        <w:t>Para estos propósitos, deberá incluirse expresamente en la exposición de motivos y en las ponencias de trámite respectivas los costos fiscales de la iniciativa y la fuente de ingreso adicional generada para el financiamiento de dicho costo.</w:t>
      </w:r>
    </w:p>
    <w:p w14:paraId="7BAD14E7" w14:textId="77777777" w:rsidR="00906524" w:rsidRPr="00491B1F" w:rsidRDefault="007475AA">
      <w:pPr>
        <w:shd w:val="clear" w:color="auto" w:fill="FFFFFF"/>
        <w:spacing w:before="240" w:after="240" w:line="240" w:lineRule="auto"/>
        <w:ind w:left="708" w:right="697"/>
        <w:jc w:val="both"/>
        <w:rPr>
          <w:i/>
          <w:color w:val="181717"/>
        </w:rPr>
      </w:pPr>
      <w:r w:rsidRPr="00491B1F">
        <w:rPr>
          <w:i/>
          <w:color w:val="181717"/>
        </w:rPr>
        <w:t>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w:t>
      </w:r>
    </w:p>
    <w:p w14:paraId="7BAD14E8" w14:textId="77777777" w:rsidR="00906524" w:rsidRPr="00491B1F" w:rsidRDefault="007475AA">
      <w:pPr>
        <w:shd w:val="clear" w:color="auto" w:fill="FFFFFF"/>
        <w:spacing w:before="240" w:after="240" w:line="240" w:lineRule="auto"/>
        <w:ind w:left="708" w:right="697"/>
        <w:jc w:val="both"/>
        <w:rPr>
          <w:i/>
          <w:color w:val="181717"/>
        </w:rPr>
      </w:pPr>
      <w:r w:rsidRPr="00491B1F">
        <w:rPr>
          <w:i/>
          <w:color w:val="181717"/>
        </w:rPr>
        <w:t>Los proyectos de ley de iniciativa gubernamental, que planteen un gasto adicional o una reducción de ingresos, deberá contener la correspondiente fuente sustitutiva por disminución de gasto o aumentos de ingresos, lo cual deberá ser analizado y aprobado por el Ministerio de Hacienda y Crédito Público.</w:t>
      </w:r>
    </w:p>
    <w:p w14:paraId="7BAD14E9" w14:textId="77777777" w:rsidR="00906524" w:rsidRPr="00491B1F" w:rsidRDefault="007475AA">
      <w:pPr>
        <w:shd w:val="clear" w:color="auto" w:fill="FFFFFF"/>
        <w:spacing w:before="240" w:after="240" w:line="240" w:lineRule="auto"/>
        <w:ind w:left="708" w:right="697"/>
        <w:jc w:val="both"/>
        <w:rPr>
          <w:i/>
          <w:color w:val="181717"/>
        </w:rPr>
      </w:pPr>
      <w:r w:rsidRPr="00491B1F">
        <w:rPr>
          <w:i/>
          <w:color w:val="181717"/>
        </w:rPr>
        <w:t>En las entidades territoriales, el trámite previsto en el inciso anterior será surtido ante la respectiva Secretaría de Hacienda o quien haga sus veces.”</w:t>
      </w:r>
    </w:p>
    <w:p w14:paraId="7BAD14EA" w14:textId="7AE11394" w:rsidR="00906524" w:rsidRPr="00491B1F" w:rsidRDefault="007475AA">
      <w:pPr>
        <w:shd w:val="clear" w:color="auto" w:fill="FFFFFF"/>
        <w:spacing w:before="240" w:after="240" w:line="240" w:lineRule="auto"/>
        <w:jc w:val="both"/>
        <w:rPr>
          <w:color w:val="181717"/>
        </w:rPr>
      </w:pPr>
      <w:r w:rsidRPr="00491B1F">
        <w:rPr>
          <w:color w:val="181717"/>
        </w:rPr>
        <w:t>Es importante señalar que la presente iniciativa no genera impacto fiscal que implique una modificación en el marco fiscal de mediano plazo, toda vez que no se incrementará el Presupuesto del Distrito, ni ocasionará la creación de una nueva fuente de financiación.</w:t>
      </w:r>
    </w:p>
    <w:p w14:paraId="7BAD14EC" w14:textId="77777777" w:rsidR="00906524" w:rsidRPr="00491B1F" w:rsidRDefault="007475AA">
      <w:pPr>
        <w:shd w:val="clear" w:color="auto" w:fill="FFFFFF"/>
        <w:spacing w:before="240" w:after="240" w:line="240" w:lineRule="auto"/>
        <w:jc w:val="both"/>
        <w:rPr>
          <w:color w:val="181717"/>
        </w:rPr>
      </w:pPr>
      <w:r w:rsidRPr="00491B1F">
        <w:rPr>
          <w:color w:val="181717"/>
        </w:rPr>
        <w:t>Atentamente,</w:t>
      </w:r>
    </w:p>
    <w:p w14:paraId="7BAD14EF" w14:textId="438E737E" w:rsidR="00906524" w:rsidRPr="00491B1F" w:rsidRDefault="007475AA">
      <w:pPr>
        <w:shd w:val="clear" w:color="auto" w:fill="FFFFFF"/>
        <w:spacing w:before="280" w:after="280" w:line="240" w:lineRule="auto"/>
        <w:jc w:val="center"/>
        <w:rPr>
          <w:b/>
          <w:color w:val="181717"/>
        </w:rPr>
      </w:pPr>
      <w:r w:rsidRPr="00491B1F">
        <w:rPr>
          <w:b/>
          <w:color w:val="181717"/>
        </w:rPr>
        <w:t xml:space="preserve">BANCADA PARTIDO POLÍTICO MIRA </w:t>
      </w:r>
    </w:p>
    <w:tbl>
      <w:tblPr>
        <w:tblStyle w:val="a"/>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800"/>
        <w:gridCol w:w="4080"/>
      </w:tblGrid>
      <w:tr w:rsidR="00906524" w:rsidRPr="00491B1F" w14:paraId="7BAD14F8" w14:textId="77777777">
        <w:trPr>
          <w:trHeight w:val="2306"/>
        </w:trPr>
        <w:tc>
          <w:tcPr>
            <w:tcW w:w="4800" w:type="dxa"/>
            <w:tcBorders>
              <w:top w:val="nil"/>
              <w:left w:val="nil"/>
              <w:bottom w:val="nil"/>
              <w:right w:val="nil"/>
            </w:tcBorders>
            <w:tcMar>
              <w:top w:w="0" w:type="dxa"/>
              <w:left w:w="100" w:type="dxa"/>
              <w:bottom w:w="0" w:type="dxa"/>
              <w:right w:w="100" w:type="dxa"/>
            </w:tcMar>
          </w:tcPr>
          <w:p w14:paraId="28D63EFA" w14:textId="4831C658" w:rsidR="00811CAC" w:rsidRDefault="00811CAC">
            <w:pPr>
              <w:shd w:val="clear" w:color="auto" w:fill="FFFFFF"/>
              <w:spacing w:line="240" w:lineRule="auto"/>
              <w:jc w:val="center"/>
              <w:rPr>
                <w:b/>
                <w:color w:val="181717"/>
              </w:rPr>
            </w:pPr>
          </w:p>
          <w:p w14:paraId="55BC740D" w14:textId="77777777" w:rsidR="00811CAC" w:rsidRDefault="00811CAC">
            <w:pPr>
              <w:shd w:val="clear" w:color="auto" w:fill="FFFFFF"/>
              <w:spacing w:line="240" w:lineRule="auto"/>
              <w:jc w:val="center"/>
              <w:rPr>
                <w:b/>
                <w:color w:val="181717"/>
              </w:rPr>
            </w:pPr>
          </w:p>
          <w:p w14:paraId="6DB7F7B3" w14:textId="6D436A3A" w:rsidR="00811CAC" w:rsidRDefault="00811CAC">
            <w:pPr>
              <w:shd w:val="clear" w:color="auto" w:fill="FFFFFF"/>
              <w:spacing w:line="240" w:lineRule="auto"/>
              <w:jc w:val="center"/>
              <w:rPr>
                <w:b/>
                <w:color w:val="181717"/>
              </w:rPr>
            </w:pPr>
          </w:p>
          <w:p w14:paraId="1FFEF287" w14:textId="2FA7283B" w:rsidR="00811CAC" w:rsidRDefault="00811CAC">
            <w:pPr>
              <w:shd w:val="clear" w:color="auto" w:fill="FFFFFF"/>
              <w:spacing w:line="240" w:lineRule="auto"/>
              <w:jc w:val="center"/>
              <w:rPr>
                <w:b/>
                <w:color w:val="181717"/>
              </w:rPr>
            </w:pPr>
          </w:p>
          <w:p w14:paraId="7BAD14F0" w14:textId="45A68311" w:rsidR="00906524" w:rsidRPr="00491B1F" w:rsidRDefault="007475AA">
            <w:pPr>
              <w:shd w:val="clear" w:color="auto" w:fill="FFFFFF"/>
              <w:spacing w:line="240" w:lineRule="auto"/>
              <w:jc w:val="center"/>
              <w:rPr>
                <w:b/>
                <w:color w:val="181717"/>
              </w:rPr>
            </w:pPr>
            <w:r w:rsidRPr="00491B1F">
              <w:rPr>
                <w:b/>
                <w:color w:val="181717"/>
              </w:rPr>
              <w:t>FABIÁN ANDRÉS PUENTES SIERRA</w:t>
            </w:r>
          </w:p>
          <w:p w14:paraId="7BAD14F1" w14:textId="77777777" w:rsidR="00906524" w:rsidRPr="00491B1F" w:rsidRDefault="007475AA">
            <w:pPr>
              <w:shd w:val="clear" w:color="auto" w:fill="FFFFFF"/>
              <w:spacing w:line="240" w:lineRule="auto"/>
              <w:jc w:val="center"/>
              <w:rPr>
                <w:color w:val="181717"/>
              </w:rPr>
            </w:pPr>
            <w:r w:rsidRPr="00491B1F">
              <w:rPr>
                <w:color w:val="181717"/>
              </w:rPr>
              <w:t xml:space="preserve">Concejal de Bogotá                                                            </w:t>
            </w:r>
          </w:p>
          <w:p w14:paraId="7BAD14F2" w14:textId="77777777" w:rsidR="00906524" w:rsidRPr="00491B1F" w:rsidRDefault="007475AA">
            <w:pPr>
              <w:shd w:val="clear" w:color="auto" w:fill="FFFFFF"/>
              <w:spacing w:line="240" w:lineRule="auto"/>
              <w:jc w:val="center"/>
              <w:rPr>
                <w:color w:val="181717"/>
              </w:rPr>
            </w:pPr>
            <w:r w:rsidRPr="00491B1F">
              <w:rPr>
                <w:color w:val="181717"/>
              </w:rPr>
              <w:t xml:space="preserve">Partido Político MIRA                         </w:t>
            </w:r>
          </w:p>
          <w:p w14:paraId="7BAD14F3" w14:textId="77777777" w:rsidR="00906524" w:rsidRPr="00491B1F" w:rsidRDefault="00906524">
            <w:pPr>
              <w:shd w:val="clear" w:color="auto" w:fill="FFFFFF"/>
              <w:spacing w:line="240" w:lineRule="auto"/>
              <w:jc w:val="center"/>
              <w:rPr>
                <w:color w:val="181717"/>
              </w:rPr>
            </w:pPr>
          </w:p>
          <w:p w14:paraId="7BAD14F4" w14:textId="24CF5844" w:rsidR="00906524" w:rsidRPr="00491B1F" w:rsidRDefault="007475AA">
            <w:pPr>
              <w:shd w:val="clear" w:color="auto" w:fill="FFFFFF"/>
              <w:spacing w:line="240" w:lineRule="auto"/>
              <w:jc w:val="center"/>
              <w:rPr>
                <w:color w:val="181717"/>
              </w:rPr>
            </w:pPr>
            <w:r w:rsidRPr="00491B1F">
              <w:rPr>
                <w:color w:val="181717"/>
              </w:rPr>
              <w:t xml:space="preserve">                        </w:t>
            </w:r>
          </w:p>
        </w:tc>
        <w:tc>
          <w:tcPr>
            <w:tcW w:w="4080" w:type="dxa"/>
            <w:tcBorders>
              <w:top w:val="nil"/>
              <w:left w:val="nil"/>
              <w:bottom w:val="nil"/>
              <w:right w:val="nil"/>
            </w:tcBorders>
            <w:tcMar>
              <w:top w:w="0" w:type="dxa"/>
              <w:left w:w="100" w:type="dxa"/>
              <w:bottom w:w="0" w:type="dxa"/>
              <w:right w:w="100" w:type="dxa"/>
            </w:tcMar>
          </w:tcPr>
          <w:p w14:paraId="414F4052" w14:textId="77777777" w:rsidR="00811CAC" w:rsidRDefault="007475AA">
            <w:pPr>
              <w:shd w:val="clear" w:color="auto" w:fill="FFFFFF"/>
              <w:spacing w:line="240" w:lineRule="auto"/>
              <w:jc w:val="center"/>
              <w:rPr>
                <w:b/>
                <w:color w:val="181717"/>
              </w:rPr>
            </w:pPr>
            <w:r w:rsidRPr="00491B1F">
              <w:rPr>
                <w:b/>
                <w:color w:val="181717"/>
              </w:rPr>
              <w:t xml:space="preserve"> </w:t>
            </w:r>
          </w:p>
          <w:p w14:paraId="39D7B34E" w14:textId="77777777" w:rsidR="00811CAC" w:rsidRDefault="00811CAC">
            <w:pPr>
              <w:shd w:val="clear" w:color="auto" w:fill="FFFFFF"/>
              <w:spacing w:line="240" w:lineRule="auto"/>
              <w:jc w:val="center"/>
              <w:rPr>
                <w:b/>
                <w:color w:val="181717"/>
              </w:rPr>
            </w:pPr>
          </w:p>
          <w:p w14:paraId="4D07E803" w14:textId="77777777" w:rsidR="00811CAC" w:rsidRDefault="00811CAC">
            <w:pPr>
              <w:shd w:val="clear" w:color="auto" w:fill="FFFFFF"/>
              <w:spacing w:line="240" w:lineRule="auto"/>
              <w:jc w:val="center"/>
              <w:rPr>
                <w:b/>
                <w:color w:val="181717"/>
              </w:rPr>
            </w:pPr>
          </w:p>
          <w:p w14:paraId="7FD0FD86" w14:textId="77777777" w:rsidR="00811CAC" w:rsidRDefault="00811CAC">
            <w:pPr>
              <w:shd w:val="clear" w:color="auto" w:fill="FFFFFF"/>
              <w:spacing w:line="240" w:lineRule="auto"/>
              <w:jc w:val="center"/>
              <w:rPr>
                <w:b/>
                <w:color w:val="181717"/>
              </w:rPr>
            </w:pPr>
          </w:p>
          <w:p w14:paraId="7BAD14F5" w14:textId="6161CBB6" w:rsidR="00906524" w:rsidRPr="00491B1F" w:rsidRDefault="007475AA">
            <w:pPr>
              <w:shd w:val="clear" w:color="auto" w:fill="FFFFFF"/>
              <w:spacing w:line="240" w:lineRule="auto"/>
              <w:jc w:val="center"/>
              <w:rPr>
                <w:b/>
                <w:color w:val="181717"/>
              </w:rPr>
            </w:pPr>
            <w:r w:rsidRPr="00491B1F">
              <w:rPr>
                <w:b/>
                <w:color w:val="181717"/>
              </w:rPr>
              <w:t>SAMIR BEDOYA PIRAQUIVE</w:t>
            </w:r>
          </w:p>
          <w:p w14:paraId="7BAD14F6" w14:textId="77777777" w:rsidR="00906524" w:rsidRPr="00491B1F" w:rsidRDefault="007475AA">
            <w:pPr>
              <w:shd w:val="clear" w:color="auto" w:fill="FFFFFF"/>
              <w:spacing w:line="240" w:lineRule="auto"/>
              <w:jc w:val="center"/>
              <w:rPr>
                <w:color w:val="181717"/>
              </w:rPr>
            </w:pPr>
            <w:r w:rsidRPr="00491B1F">
              <w:rPr>
                <w:color w:val="181717"/>
              </w:rPr>
              <w:t xml:space="preserve"> Concejal de Bogotá                                         </w:t>
            </w:r>
          </w:p>
          <w:p w14:paraId="7BAD14F7" w14:textId="77777777" w:rsidR="00906524" w:rsidRPr="00491B1F" w:rsidRDefault="007475AA">
            <w:pPr>
              <w:shd w:val="clear" w:color="auto" w:fill="FFFFFF"/>
              <w:spacing w:line="240" w:lineRule="auto"/>
              <w:jc w:val="center"/>
              <w:rPr>
                <w:color w:val="181717"/>
              </w:rPr>
            </w:pPr>
            <w:r w:rsidRPr="00491B1F">
              <w:rPr>
                <w:color w:val="181717"/>
              </w:rPr>
              <w:t xml:space="preserve"> Partido Político MIRA                                           </w:t>
            </w:r>
          </w:p>
        </w:tc>
      </w:tr>
    </w:tbl>
    <w:p w14:paraId="47723FC7" w14:textId="77777777" w:rsidR="00811CAC" w:rsidRDefault="00811CAC">
      <w:pPr>
        <w:pStyle w:val="Ttulo3"/>
        <w:keepNext w:val="0"/>
        <w:keepLines w:val="0"/>
        <w:spacing w:before="280" w:line="240" w:lineRule="auto"/>
        <w:jc w:val="center"/>
        <w:rPr>
          <w:b/>
          <w:color w:val="000000"/>
          <w:sz w:val="22"/>
          <w:szCs w:val="22"/>
        </w:rPr>
      </w:pPr>
      <w:bookmarkStart w:id="3" w:name="_ok8ysq9a0ml" w:colFirst="0" w:colLast="0"/>
      <w:bookmarkEnd w:id="3"/>
    </w:p>
    <w:p w14:paraId="4192FA0D" w14:textId="77777777" w:rsidR="00811CAC" w:rsidRDefault="00811CAC">
      <w:pPr>
        <w:pStyle w:val="Ttulo3"/>
        <w:keepNext w:val="0"/>
        <w:keepLines w:val="0"/>
        <w:spacing w:before="280" w:line="240" w:lineRule="auto"/>
        <w:jc w:val="center"/>
        <w:rPr>
          <w:b/>
          <w:color w:val="000000"/>
          <w:sz w:val="22"/>
          <w:szCs w:val="22"/>
        </w:rPr>
      </w:pPr>
    </w:p>
    <w:p w14:paraId="7BAD14FB" w14:textId="050590DC" w:rsidR="00906524" w:rsidRDefault="007475AA">
      <w:pPr>
        <w:pStyle w:val="Ttulo3"/>
        <w:keepNext w:val="0"/>
        <w:keepLines w:val="0"/>
        <w:spacing w:before="280" w:line="240" w:lineRule="auto"/>
        <w:jc w:val="center"/>
        <w:rPr>
          <w:b/>
          <w:color w:val="000000"/>
          <w:sz w:val="22"/>
          <w:szCs w:val="22"/>
        </w:rPr>
      </w:pPr>
      <w:r w:rsidRPr="00491B1F">
        <w:rPr>
          <w:b/>
          <w:color w:val="000000"/>
          <w:sz w:val="22"/>
          <w:szCs w:val="22"/>
        </w:rPr>
        <w:t>PROYECTO DE ACUERDO No _______ DE 2025</w:t>
      </w:r>
    </w:p>
    <w:p w14:paraId="7BAD14FC" w14:textId="36D0BB79" w:rsidR="00906524" w:rsidRDefault="007475AA">
      <w:pPr>
        <w:pStyle w:val="Ttulo3"/>
        <w:keepNext w:val="0"/>
        <w:keepLines w:val="0"/>
        <w:spacing w:before="280" w:line="240" w:lineRule="auto"/>
        <w:jc w:val="center"/>
        <w:rPr>
          <w:b/>
          <w:color w:val="000000"/>
          <w:sz w:val="22"/>
          <w:szCs w:val="22"/>
        </w:rPr>
      </w:pPr>
      <w:bookmarkStart w:id="4" w:name="_6lj0g88mr2z8" w:colFirst="0" w:colLast="0"/>
      <w:bookmarkEnd w:id="4"/>
      <w:r w:rsidRPr="00491B1F">
        <w:rPr>
          <w:b/>
          <w:color w:val="000000"/>
          <w:sz w:val="22"/>
          <w:szCs w:val="22"/>
        </w:rPr>
        <w:t>“POR MEDIO DEL CUAL SE ESTABLECEN LOS LINEAMIENTOS GENERALES PARA LA FORMULACIÓN E IMPLEMENTACIÓN DE LA POLÍTICA PÚBLICA DISTRITAL DE MICRONEGOCIOS BARRIALES Y VECINALES EN BOGOTÁ, D.C., Y SE DICTAN OTRAS DISPOSICIONES”</w:t>
      </w:r>
    </w:p>
    <w:p w14:paraId="00B4DA04" w14:textId="77777777" w:rsidR="00491B1F" w:rsidRDefault="00491B1F" w:rsidP="00491B1F"/>
    <w:p w14:paraId="23FCCBEE" w14:textId="77777777" w:rsidR="00811CAC" w:rsidRPr="00491B1F" w:rsidRDefault="00811CAC" w:rsidP="00491B1F"/>
    <w:p w14:paraId="7BAD14FE" w14:textId="77777777" w:rsidR="00906524" w:rsidRPr="00491B1F" w:rsidRDefault="007475AA">
      <w:pPr>
        <w:shd w:val="clear" w:color="auto" w:fill="FFFFFF"/>
        <w:spacing w:line="240" w:lineRule="auto"/>
        <w:jc w:val="center"/>
        <w:rPr>
          <w:b/>
          <w:color w:val="333333"/>
        </w:rPr>
      </w:pPr>
      <w:r w:rsidRPr="00491B1F">
        <w:rPr>
          <w:b/>
          <w:color w:val="333333"/>
        </w:rPr>
        <w:t>EL CONCEJO DE BOGOTÁ D.C.</w:t>
      </w:r>
    </w:p>
    <w:p w14:paraId="04EA7255" w14:textId="77777777" w:rsidR="00811CAC" w:rsidRDefault="00811CAC">
      <w:pPr>
        <w:shd w:val="clear" w:color="auto" w:fill="FFFFFF"/>
        <w:spacing w:line="240" w:lineRule="auto"/>
      </w:pPr>
    </w:p>
    <w:p w14:paraId="7BAD14FF" w14:textId="342830F2" w:rsidR="00906524" w:rsidRPr="00491B1F" w:rsidRDefault="007475AA">
      <w:pPr>
        <w:shd w:val="clear" w:color="auto" w:fill="FFFFFF"/>
        <w:spacing w:line="240" w:lineRule="auto"/>
      </w:pPr>
      <w:r w:rsidRPr="00491B1F">
        <w:t xml:space="preserve"> </w:t>
      </w:r>
    </w:p>
    <w:p w14:paraId="7BAD1500" w14:textId="77777777" w:rsidR="00906524" w:rsidRPr="00491B1F" w:rsidRDefault="007475AA">
      <w:pPr>
        <w:shd w:val="clear" w:color="auto" w:fill="FFFFFF"/>
        <w:spacing w:line="240" w:lineRule="auto"/>
        <w:jc w:val="center"/>
      </w:pPr>
      <w:r w:rsidRPr="00491B1F">
        <w:t>En uso de sus facultades constitucionales y legales, en especial las conferidas por los artículos 313 y 322 de la Constitución Política. y los numerales 1 y 25 del artículo 12 del Decreto Ley 1421 de 1993</w:t>
      </w:r>
    </w:p>
    <w:p w14:paraId="7BAD1501" w14:textId="77777777" w:rsidR="00906524" w:rsidRPr="00491B1F" w:rsidRDefault="00906524">
      <w:pPr>
        <w:spacing w:line="240" w:lineRule="auto"/>
        <w:rPr>
          <w:b/>
        </w:rPr>
      </w:pPr>
    </w:p>
    <w:p w14:paraId="3BF8F26D" w14:textId="77777777" w:rsidR="00811CAC" w:rsidRDefault="00811CAC">
      <w:pPr>
        <w:spacing w:line="240" w:lineRule="auto"/>
        <w:jc w:val="center"/>
        <w:rPr>
          <w:b/>
        </w:rPr>
      </w:pPr>
    </w:p>
    <w:p w14:paraId="7BAD1503" w14:textId="3130E61F" w:rsidR="00906524" w:rsidRPr="00491B1F" w:rsidRDefault="007475AA">
      <w:pPr>
        <w:spacing w:line="240" w:lineRule="auto"/>
        <w:jc w:val="center"/>
        <w:rPr>
          <w:b/>
        </w:rPr>
      </w:pPr>
      <w:r w:rsidRPr="00491B1F">
        <w:rPr>
          <w:b/>
        </w:rPr>
        <w:t>ACUERDA:</w:t>
      </w:r>
    </w:p>
    <w:p w14:paraId="7BAD1504" w14:textId="77777777" w:rsidR="00906524" w:rsidRPr="00491B1F" w:rsidRDefault="00906524">
      <w:pPr>
        <w:spacing w:line="240" w:lineRule="auto"/>
      </w:pPr>
    </w:p>
    <w:p w14:paraId="7BAD1505" w14:textId="77777777" w:rsidR="00906524" w:rsidRPr="00491B1F" w:rsidRDefault="007475AA" w:rsidP="00811CAC">
      <w:pPr>
        <w:jc w:val="both"/>
      </w:pPr>
      <w:r w:rsidRPr="00491B1F">
        <w:rPr>
          <w:b/>
        </w:rPr>
        <w:t xml:space="preserve">ARTÍCULO PRIMERO.  OBJETO.  </w:t>
      </w:r>
      <w:r w:rsidRPr="00491B1F">
        <w:t>El presente Acuerdo tiene por objeto establecer los lineamientos de política pública distrital para el fortalecimiento, formalización y generación de empleo mediante los micronegocios barriales y vecinales en Bogotá, incluyendo a tiendas y panaderías de barrio como aliados estratégicos en el suministro de productos de primera necesidad, en el marco de la economía popular y comunitaria.</w:t>
      </w:r>
    </w:p>
    <w:p w14:paraId="7BAD1506" w14:textId="77777777" w:rsidR="00906524" w:rsidRPr="00491B1F" w:rsidRDefault="00906524" w:rsidP="00811CAC">
      <w:pPr>
        <w:jc w:val="both"/>
      </w:pPr>
    </w:p>
    <w:p w14:paraId="7BAD1507" w14:textId="351C82C0" w:rsidR="00906524" w:rsidRDefault="007475AA" w:rsidP="00811CAC">
      <w:pPr>
        <w:jc w:val="both"/>
      </w:pPr>
      <w:r w:rsidRPr="00491B1F">
        <w:t xml:space="preserve">Se entenderá como micronegocio barrial o vecinal aquella unidad económica que se caracteriza por contar de una (1) a nueve (9) personas ocupadas y desarrollar una actividad productiva de bienes o servicios con el objeto de obtener un ingreso, actuando en calidad de propietario o arrendatario de los medios de producción ubicado en las zonas barriales o rurales, cuyos ingresos brutos anuales no superen tres mil quinientas (3.500) Unidades de Valor Tributario, de acuerdo con el artículo 2 de </w:t>
      </w:r>
      <w:r w:rsidR="00BD4E09" w:rsidRPr="00491B1F">
        <w:t>la Ley 2470 de 2025</w:t>
      </w:r>
      <w:r w:rsidRPr="00491B1F">
        <w:t>, o la norma que lo modifique o adicione.</w:t>
      </w:r>
    </w:p>
    <w:p w14:paraId="7BAD1508" w14:textId="77777777" w:rsidR="00906524" w:rsidRPr="00491B1F" w:rsidRDefault="00906524" w:rsidP="00811CAC"/>
    <w:p w14:paraId="7BAD1509" w14:textId="77777777" w:rsidR="00906524" w:rsidRPr="00491B1F" w:rsidRDefault="007475AA" w:rsidP="00811CAC">
      <w:pPr>
        <w:jc w:val="both"/>
      </w:pPr>
      <w:r w:rsidRPr="00491B1F">
        <w:rPr>
          <w:b/>
        </w:rPr>
        <w:t xml:space="preserve">ARTÍCULO SEGUNDO.  LINEAMIENTOS. </w:t>
      </w:r>
      <w:r w:rsidRPr="00491B1F">
        <w:t xml:space="preserve"> La Política Pública Distrital de Micronegocios Barriales y Vecinales en Bogotá, deberá formularse a partir de los lineamientos:</w:t>
      </w:r>
    </w:p>
    <w:p w14:paraId="7BAD150A" w14:textId="77777777" w:rsidR="00906524" w:rsidRPr="00491B1F" w:rsidRDefault="00906524" w:rsidP="00811CAC">
      <w:pPr>
        <w:jc w:val="both"/>
      </w:pPr>
    </w:p>
    <w:p w14:paraId="7BAD150B" w14:textId="77777777" w:rsidR="00906524" w:rsidRPr="00491B1F" w:rsidRDefault="007475AA" w:rsidP="00811CAC">
      <w:pPr>
        <w:numPr>
          <w:ilvl w:val="0"/>
          <w:numId w:val="1"/>
        </w:numPr>
        <w:jc w:val="both"/>
      </w:pPr>
      <w:r w:rsidRPr="00491B1F">
        <w:t>Reconocer a los micronegocios, tiendas y panaderías como parte de la cadena de abastecimiento local y actores clave en la seguridad alimentaria del Distrito.</w:t>
      </w:r>
    </w:p>
    <w:p w14:paraId="7BAD150C" w14:textId="77777777" w:rsidR="00906524" w:rsidRPr="00491B1F" w:rsidRDefault="007475AA" w:rsidP="00811CAC">
      <w:pPr>
        <w:numPr>
          <w:ilvl w:val="0"/>
          <w:numId w:val="1"/>
        </w:numPr>
        <w:jc w:val="both"/>
      </w:pPr>
      <w:r w:rsidRPr="00491B1F">
        <w:t>Incluir a los micronegocios, tiendas y panaderías en programas distritales de promoción, formación, acompañamiento empresarial y fortalecimiento productivo.</w:t>
      </w:r>
    </w:p>
    <w:p w14:paraId="7BAD150D" w14:textId="77777777" w:rsidR="00906524" w:rsidRPr="00491B1F" w:rsidRDefault="007475AA" w:rsidP="00811CAC">
      <w:pPr>
        <w:numPr>
          <w:ilvl w:val="0"/>
          <w:numId w:val="1"/>
        </w:numPr>
        <w:jc w:val="both"/>
      </w:pPr>
      <w:r w:rsidRPr="00491B1F">
        <w:t>Diseñar y actualizar un sistema distrital de información y caracterización de micronegocios, tiendas y panaderías, georreferenciado por localidades, con enfoque diferencial.</w:t>
      </w:r>
    </w:p>
    <w:p w14:paraId="7BAD150E" w14:textId="06652286" w:rsidR="00906524" w:rsidRPr="00491B1F" w:rsidRDefault="007475AA" w:rsidP="00811CAC">
      <w:pPr>
        <w:numPr>
          <w:ilvl w:val="0"/>
          <w:numId w:val="1"/>
        </w:numPr>
        <w:jc w:val="both"/>
      </w:pPr>
      <w:r w:rsidRPr="00491B1F">
        <w:t xml:space="preserve">Brindar acompañamiento para la </w:t>
      </w:r>
      <w:r w:rsidR="00E16AA9" w:rsidRPr="00491B1F">
        <w:t>f</w:t>
      </w:r>
      <w:r w:rsidRPr="00491B1F">
        <w:t>ormalización de los micronegocios, tiendas y panaderías.</w:t>
      </w:r>
    </w:p>
    <w:p w14:paraId="7BAD150F" w14:textId="01EA6681" w:rsidR="00906524" w:rsidRPr="00491B1F" w:rsidRDefault="00471754" w:rsidP="00811CAC">
      <w:pPr>
        <w:numPr>
          <w:ilvl w:val="0"/>
          <w:numId w:val="1"/>
        </w:numPr>
        <w:jc w:val="both"/>
      </w:pPr>
      <w:r w:rsidRPr="00491B1F">
        <w:t>Fomentar el acceso a las fuentes de financiación para micronegocios, tiendas y panaderías.</w:t>
      </w:r>
    </w:p>
    <w:p w14:paraId="7BAD1510" w14:textId="7DE698D0" w:rsidR="00906524" w:rsidRPr="00491B1F" w:rsidRDefault="007475AA" w:rsidP="00811CAC">
      <w:pPr>
        <w:numPr>
          <w:ilvl w:val="0"/>
          <w:numId w:val="1"/>
        </w:numPr>
        <w:jc w:val="both"/>
      </w:pPr>
      <w:r w:rsidRPr="00491B1F">
        <w:t>Promover procesos de asociatividad entre micronegocios, tiendas y panaderías, como mecanismo para fortalecer capacidades colectivas, generar redes de cooperación territorial y facilitar el acceso a programas de formación, financiación, comercialización y formalización.</w:t>
      </w:r>
    </w:p>
    <w:p w14:paraId="7BAD1511" w14:textId="77777777" w:rsidR="00906524" w:rsidRPr="00491B1F" w:rsidRDefault="007475AA" w:rsidP="00811CAC">
      <w:pPr>
        <w:numPr>
          <w:ilvl w:val="0"/>
          <w:numId w:val="1"/>
        </w:numPr>
        <w:jc w:val="both"/>
      </w:pPr>
      <w:r w:rsidRPr="00491B1F">
        <w:t>Fomentar el acceso a programas de formación técnica, certificación de competencias laborales y desarrollo de capacidades para el emprendimiento, en articulación con la oferta distrital y nacional.</w:t>
      </w:r>
    </w:p>
    <w:p w14:paraId="7BAD1512" w14:textId="77777777" w:rsidR="00906524" w:rsidRPr="00491B1F" w:rsidRDefault="007475AA" w:rsidP="00811CAC">
      <w:pPr>
        <w:numPr>
          <w:ilvl w:val="0"/>
          <w:numId w:val="1"/>
        </w:numPr>
        <w:jc w:val="both"/>
      </w:pPr>
      <w:r w:rsidRPr="00491B1F">
        <w:t>Promover la participación de micronegocios en ferias, ruedas de negocio, mercados campesinos, entre otros.</w:t>
      </w:r>
    </w:p>
    <w:p w14:paraId="7BAD1513" w14:textId="77777777" w:rsidR="00906524" w:rsidRPr="00491B1F" w:rsidRDefault="007475AA" w:rsidP="00811CAC">
      <w:pPr>
        <w:numPr>
          <w:ilvl w:val="0"/>
          <w:numId w:val="1"/>
        </w:numPr>
        <w:jc w:val="both"/>
      </w:pPr>
      <w:r w:rsidRPr="00491B1F">
        <w:t>Fomentar procesos de innovación, digitalización y comercio electrónico dirigidos a micronegocios, tiendas y panaderías.</w:t>
      </w:r>
    </w:p>
    <w:p w14:paraId="7BAD1514" w14:textId="77777777" w:rsidR="00906524" w:rsidRPr="00491B1F" w:rsidRDefault="007475AA" w:rsidP="00811CAC">
      <w:pPr>
        <w:numPr>
          <w:ilvl w:val="0"/>
          <w:numId w:val="1"/>
        </w:numPr>
        <w:jc w:val="both"/>
      </w:pPr>
      <w:r w:rsidRPr="00491B1F">
        <w:t>Promover mecanismos de acceso al Sistema de Seguridad Social y esquemas de protección para la vejez.</w:t>
      </w:r>
    </w:p>
    <w:p w14:paraId="0B7A5B3E" w14:textId="336EDA18" w:rsidR="00476FB7" w:rsidRPr="00491B1F" w:rsidRDefault="001E3FBB" w:rsidP="00811CAC">
      <w:pPr>
        <w:numPr>
          <w:ilvl w:val="0"/>
          <w:numId w:val="1"/>
        </w:numPr>
        <w:jc w:val="both"/>
      </w:pPr>
      <w:r w:rsidRPr="00491B1F">
        <w:t>Impulsar estrategias de inclusión financiera para micronegocios</w:t>
      </w:r>
      <w:r w:rsidR="00476FB7" w:rsidRPr="00491B1F">
        <w:t>, tiendas y panaderías.</w:t>
      </w:r>
    </w:p>
    <w:p w14:paraId="40C3FAD9" w14:textId="700B062E" w:rsidR="007F4542" w:rsidRPr="00491B1F" w:rsidRDefault="007F4542" w:rsidP="00811CAC">
      <w:pPr>
        <w:ind w:left="720"/>
        <w:jc w:val="both"/>
      </w:pPr>
    </w:p>
    <w:p w14:paraId="7BAD1516" w14:textId="77777777" w:rsidR="00906524" w:rsidRPr="00491B1F" w:rsidRDefault="007475AA" w:rsidP="00811CAC">
      <w:pPr>
        <w:shd w:val="clear" w:color="auto" w:fill="FFFFFF"/>
        <w:jc w:val="both"/>
      </w:pPr>
      <w:r w:rsidRPr="00491B1F">
        <w:rPr>
          <w:b/>
        </w:rPr>
        <w:t>ARTÍCULO TERCERO</w:t>
      </w:r>
      <w:r w:rsidRPr="00491B1F">
        <w:t xml:space="preserve">. </w:t>
      </w:r>
      <w:r w:rsidRPr="00491B1F">
        <w:rPr>
          <w:b/>
        </w:rPr>
        <w:t>ENTIDADES RESPONSABLES.</w:t>
      </w:r>
      <w:r w:rsidRPr="00491B1F">
        <w:t xml:space="preserve"> Corresponde a la Administración Distrital, en cabeza de la Secretaría Distrital de Desarrollo Económico, Secretaría Distrital de Planeación, Secretaría de Educación del Distrito y las demás entidades del Distrito competentes, la formulación y socialización de la Política Pública Distrital de Micronegocios Barriales y Vecinales en Bogotá.</w:t>
      </w:r>
    </w:p>
    <w:p w14:paraId="786DAF50" w14:textId="77777777" w:rsidR="00DE1F5E" w:rsidRPr="00491B1F" w:rsidRDefault="00DE1F5E" w:rsidP="00811CAC">
      <w:pPr>
        <w:shd w:val="clear" w:color="auto" w:fill="FFFFFF"/>
        <w:jc w:val="both"/>
      </w:pPr>
    </w:p>
    <w:p w14:paraId="77E20DB9" w14:textId="77777777" w:rsidR="00DE1F5E" w:rsidRPr="00491B1F" w:rsidRDefault="00DE1F5E" w:rsidP="00811CAC">
      <w:pPr>
        <w:shd w:val="clear" w:color="auto" w:fill="FFFFFF"/>
        <w:jc w:val="both"/>
      </w:pPr>
      <w:r w:rsidRPr="00491B1F">
        <w:rPr>
          <w:b/>
        </w:rPr>
        <w:t xml:space="preserve">PARÁGRAFO. </w:t>
      </w:r>
      <w:r w:rsidRPr="00491B1F">
        <w:t xml:space="preserve"> La Secretaría Distrital de Desarrollo Económico realiza el seguimiento técnico a la ejecución e implementación de la política pública.</w:t>
      </w:r>
    </w:p>
    <w:p w14:paraId="11E1E6E2" w14:textId="77777777" w:rsidR="00ED32B5" w:rsidRPr="00491B1F" w:rsidRDefault="00ED32B5" w:rsidP="00811CAC">
      <w:pPr>
        <w:shd w:val="clear" w:color="auto" w:fill="FFFFFF"/>
        <w:jc w:val="both"/>
      </w:pPr>
    </w:p>
    <w:p w14:paraId="53BBB487" w14:textId="64830FAA" w:rsidR="00ED32B5" w:rsidRPr="00491B1F" w:rsidRDefault="00ED32B5" w:rsidP="00811CAC">
      <w:pPr>
        <w:shd w:val="clear" w:color="auto" w:fill="FFFFFF"/>
        <w:jc w:val="both"/>
      </w:pPr>
      <w:r w:rsidRPr="00491B1F">
        <w:rPr>
          <w:b/>
        </w:rPr>
        <w:t>ARTÍCULO CUARTO</w:t>
      </w:r>
      <w:r w:rsidRPr="00491B1F">
        <w:t xml:space="preserve">. </w:t>
      </w:r>
      <w:r w:rsidR="000D3923" w:rsidRPr="00491B1F">
        <w:rPr>
          <w:b/>
        </w:rPr>
        <w:t>SEGUIMIENTO Y EVALUACIÓN</w:t>
      </w:r>
      <w:r w:rsidRPr="00491B1F">
        <w:rPr>
          <w:b/>
          <w:bCs/>
        </w:rPr>
        <w:t xml:space="preserve">. </w:t>
      </w:r>
      <w:r w:rsidRPr="00491B1F">
        <w:t xml:space="preserve">La </w:t>
      </w:r>
      <w:r w:rsidR="000D3923" w:rsidRPr="00491B1F">
        <w:t>Administración Distrital</w:t>
      </w:r>
      <w:r w:rsidRPr="00491B1F">
        <w:t>, en coordinación con las entidades responsables, deberán publicar en la página Web de cada entidad un informe semestral sobre la</w:t>
      </w:r>
      <w:r w:rsidR="00DE1840" w:rsidRPr="00491B1F">
        <w:t xml:space="preserve"> implementación,</w:t>
      </w:r>
      <w:r w:rsidRPr="00491B1F">
        <w:t xml:space="preserve"> ejecución, cumplimiento y evaluación </w:t>
      </w:r>
      <w:r w:rsidR="00DE1F5E" w:rsidRPr="00491B1F">
        <w:t>de La Política Pública Distrital de Micronegocios Barriales y Vecinales en Bogotá</w:t>
      </w:r>
      <w:r w:rsidRPr="00491B1F">
        <w:t>.</w:t>
      </w:r>
    </w:p>
    <w:p w14:paraId="7BAD1519" w14:textId="77777777" w:rsidR="00906524" w:rsidRPr="00491B1F" w:rsidRDefault="00906524" w:rsidP="00811CAC">
      <w:pPr>
        <w:shd w:val="clear" w:color="auto" w:fill="FFFFFF"/>
        <w:jc w:val="both"/>
      </w:pPr>
    </w:p>
    <w:p w14:paraId="7BAD151A" w14:textId="09AD1714" w:rsidR="00906524" w:rsidRPr="00491B1F" w:rsidRDefault="007475AA" w:rsidP="00811CAC">
      <w:pPr>
        <w:shd w:val="clear" w:color="auto" w:fill="FFFFFF"/>
        <w:jc w:val="both"/>
      </w:pPr>
      <w:r w:rsidRPr="00491B1F">
        <w:rPr>
          <w:b/>
        </w:rPr>
        <w:t xml:space="preserve">ARTÍCULO </w:t>
      </w:r>
      <w:r w:rsidR="0078634E" w:rsidRPr="00491B1F">
        <w:rPr>
          <w:b/>
        </w:rPr>
        <w:t>QUINTO</w:t>
      </w:r>
      <w:r w:rsidRPr="00491B1F">
        <w:rPr>
          <w:b/>
        </w:rPr>
        <w:t xml:space="preserve">.  PLAZO.  </w:t>
      </w:r>
      <w:r w:rsidRPr="00491B1F">
        <w:t xml:space="preserve"> La Administración Distrital contará con un plazo máximo de dieciocho (18) meses contados a partir de la entrada en vigencia del presente Acuerdo, para el diseño, adopción e implementación de la Política Pública Distrital de Micronegocios Barriales y Vecinales en Bogotá.</w:t>
      </w:r>
    </w:p>
    <w:p w14:paraId="3488C240" w14:textId="77777777" w:rsidR="00491B1F" w:rsidRDefault="00491B1F" w:rsidP="00811CAC">
      <w:pPr>
        <w:shd w:val="clear" w:color="auto" w:fill="FFFFFF"/>
        <w:jc w:val="both"/>
        <w:rPr>
          <w:b/>
        </w:rPr>
      </w:pPr>
    </w:p>
    <w:p w14:paraId="2A299857" w14:textId="77777777" w:rsidR="00811CAC" w:rsidRDefault="00811CAC" w:rsidP="00811CAC">
      <w:pPr>
        <w:shd w:val="clear" w:color="auto" w:fill="FFFFFF"/>
        <w:jc w:val="both"/>
        <w:rPr>
          <w:b/>
        </w:rPr>
      </w:pPr>
    </w:p>
    <w:p w14:paraId="7F29A359" w14:textId="77777777" w:rsidR="00811CAC" w:rsidRDefault="00811CAC" w:rsidP="00811CAC">
      <w:pPr>
        <w:shd w:val="clear" w:color="auto" w:fill="FFFFFF"/>
        <w:jc w:val="both"/>
        <w:rPr>
          <w:b/>
        </w:rPr>
      </w:pPr>
    </w:p>
    <w:p w14:paraId="0C1D2DF0" w14:textId="77777777" w:rsidR="00811CAC" w:rsidRDefault="00811CAC" w:rsidP="00811CAC">
      <w:pPr>
        <w:shd w:val="clear" w:color="auto" w:fill="FFFFFF"/>
        <w:jc w:val="both"/>
        <w:rPr>
          <w:b/>
        </w:rPr>
      </w:pPr>
    </w:p>
    <w:p w14:paraId="54E0E60D" w14:textId="77777777" w:rsidR="00811CAC" w:rsidRDefault="00811CAC" w:rsidP="00811CAC">
      <w:pPr>
        <w:shd w:val="clear" w:color="auto" w:fill="FFFFFF"/>
        <w:jc w:val="both"/>
        <w:rPr>
          <w:b/>
        </w:rPr>
      </w:pPr>
    </w:p>
    <w:p w14:paraId="6A27583E" w14:textId="77777777" w:rsidR="00811CAC" w:rsidRDefault="00811CAC" w:rsidP="00811CAC">
      <w:pPr>
        <w:shd w:val="clear" w:color="auto" w:fill="FFFFFF"/>
        <w:jc w:val="both"/>
        <w:rPr>
          <w:b/>
        </w:rPr>
      </w:pPr>
    </w:p>
    <w:p w14:paraId="7BAD151C" w14:textId="52E65A69" w:rsidR="00906524" w:rsidRPr="00491B1F" w:rsidRDefault="007475AA" w:rsidP="00811CAC">
      <w:pPr>
        <w:shd w:val="clear" w:color="auto" w:fill="FFFFFF"/>
        <w:jc w:val="both"/>
      </w:pPr>
      <w:r w:rsidRPr="00491B1F">
        <w:rPr>
          <w:b/>
        </w:rPr>
        <w:t xml:space="preserve">ARTÍCULO </w:t>
      </w:r>
      <w:r w:rsidR="0078634E" w:rsidRPr="00491B1F">
        <w:rPr>
          <w:b/>
        </w:rPr>
        <w:t>SEXTO</w:t>
      </w:r>
      <w:r w:rsidRPr="00491B1F">
        <w:rPr>
          <w:b/>
        </w:rPr>
        <w:t>. VIGENCIA.</w:t>
      </w:r>
      <w:r w:rsidRPr="00491B1F">
        <w:t xml:space="preserve"> El presente Acuerdo rige a partir de la fecha de su publicación y deroga las disposiciones que le sean contrarias.</w:t>
      </w:r>
    </w:p>
    <w:p w14:paraId="7BAD151D" w14:textId="77777777" w:rsidR="00906524" w:rsidRPr="00491B1F" w:rsidRDefault="00906524">
      <w:pPr>
        <w:shd w:val="clear" w:color="auto" w:fill="FFFFFF"/>
        <w:spacing w:line="240" w:lineRule="auto"/>
        <w:jc w:val="both"/>
      </w:pPr>
    </w:p>
    <w:p w14:paraId="7BAD151F" w14:textId="77777777" w:rsidR="00906524" w:rsidRPr="00491B1F" w:rsidRDefault="007475AA">
      <w:pPr>
        <w:shd w:val="clear" w:color="auto" w:fill="FFFFFF"/>
        <w:spacing w:line="240" w:lineRule="auto"/>
        <w:jc w:val="center"/>
        <w:rPr>
          <w:b/>
        </w:rPr>
      </w:pPr>
      <w:r w:rsidRPr="00491B1F">
        <w:rPr>
          <w:b/>
        </w:rPr>
        <w:t>PUBLÍQUESE Y CÚMPLASE.</w:t>
      </w:r>
    </w:p>
    <w:p w14:paraId="7BAD1520" w14:textId="77777777" w:rsidR="00906524" w:rsidRPr="00491B1F" w:rsidRDefault="00906524">
      <w:pPr>
        <w:shd w:val="clear" w:color="auto" w:fill="FFFFFF"/>
        <w:spacing w:line="240" w:lineRule="auto"/>
        <w:jc w:val="center"/>
        <w:rPr>
          <w:b/>
        </w:rPr>
      </w:pPr>
    </w:p>
    <w:p w14:paraId="7BAD1521" w14:textId="77777777" w:rsidR="00906524" w:rsidRPr="00491B1F" w:rsidRDefault="007475AA">
      <w:pPr>
        <w:shd w:val="clear" w:color="auto" w:fill="FFFFFF"/>
        <w:spacing w:line="240" w:lineRule="auto"/>
        <w:jc w:val="center"/>
      </w:pPr>
      <w:r w:rsidRPr="00491B1F">
        <w:t xml:space="preserve"> </w:t>
      </w:r>
    </w:p>
    <w:p w14:paraId="7BAD1522" w14:textId="77777777" w:rsidR="00906524" w:rsidRPr="00491B1F" w:rsidRDefault="007475AA">
      <w:pPr>
        <w:shd w:val="clear" w:color="auto" w:fill="FFFFFF"/>
        <w:spacing w:line="240" w:lineRule="auto"/>
        <w:jc w:val="center"/>
        <w:rPr>
          <w:b/>
        </w:rPr>
      </w:pPr>
      <w:r w:rsidRPr="00491B1F">
        <w:t>Dado en Bogotá, D.C., a los ______ del mes de ______ del año 2025.</w:t>
      </w:r>
    </w:p>
    <w:p w14:paraId="7BAD1523" w14:textId="77777777" w:rsidR="00906524" w:rsidRPr="00491B1F" w:rsidRDefault="007475AA">
      <w:pPr>
        <w:shd w:val="clear" w:color="auto" w:fill="FFFFFF"/>
        <w:spacing w:before="240" w:after="240" w:line="240" w:lineRule="auto"/>
        <w:jc w:val="both"/>
        <w:rPr>
          <w:color w:val="181717"/>
        </w:rPr>
      </w:pPr>
      <w:r w:rsidRPr="00491B1F">
        <w:rPr>
          <w:color w:val="181717"/>
        </w:rPr>
        <w:t>Atentamente,</w:t>
      </w:r>
    </w:p>
    <w:p w14:paraId="7BAD1524" w14:textId="77777777" w:rsidR="00906524" w:rsidRPr="00491B1F" w:rsidRDefault="007475AA">
      <w:pPr>
        <w:shd w:val="clear" w:color="auto" w:fill="FFFFFF"/>
        <w:spacing w:before="280" w:after="280" w:line="240" w:lineRule="auto"/>
        <w:jc w:val="center"/>
        <w:rPr>
          <w:b/>
          <w:color w:val="181717"/>
        </w:rPr>
      </w:pPr>
      <w:r w:rsidRPr="00491B1F">
        <w:rPr>
          <w:b/>
          <w:color w:val="181717"/>
        </w:rPr>
        <w:t xml:space="preserve">BANCADA PARTIDO POLÍTICO MIRA </w:t>
      </w:r>
    </w:p>
    <w:p w14:paraId="7BAD1525" w14:textId="77777777" w:rsidR="00906524" w:rsidRDefault="00906524">
      <w:pPr>
        <w:shd w:val="clear" w:color="auto" w:fill="FFFFFF"/>
        <w:spacing w:before="280" w:after="280" w:line="240" w:lineRule="auto"/>
        <w:jc w:val="center"/>
        <w:rPr>
          <w:b/>
          <w:color w:val="181717"/>
        </w:rPr>
      </w:pPr>
    </w:p>
    <w:p w14:paraId="4984E002" w14:textId="77777777" w:rsidR="00811CAC" w:rsidRPr="00491B1F" w:rsidRDefault="00811CAC">
      <w:pPr>
        <w:shd w:val="clear" w:color="auto" w:fill="FFFFFF"/>
        <w:spacing w:before="280" w:after="280" w:line="240" w:lineRule="auto"/>
        <w:jc w:val="center"/>
        <w:rPr>
          <w:b/>
          <w:color w:val="181717"/>
        </w:rPr>
      </w:pPr>
    </w:p>
    <w:tbl>
      <w:tblPr>
        <w:tblStyle w:val="a0"/>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800"/>
        <w:gridCol w:w="4080"/>
      </w:tblGrid>
      <w:tr w:rsidR="00906524" w:rsidRPr="00491B1F" w14:paraId="7BAD152D" w14:textId="77777777">
        <w:trPr>
          <w:trHeight w:val="2306"/>
        </w:trPr>
        <w:tc>
          <w:tcPr>
            <w:tcW w:w="4800" w:type="dxa"/>
            <w:tcBorders>
              <w:top w:val="nil"/>
              <w:left w:val="nil"/>
              <w:bottom w:val="nil"/>
              <w:right w:val="nil"/>
            </w:tcBorders>
            <w:tcMar>
              <w:top w:w="0" w:type="dxa"/>
              <w:left w:w="100" w:type="dxa"/>
              <w:bottom w:w="0" w:type="dxa"/>
              <w:right w:w="100" w:type="dxa"/>
            </w:tcMar>
          </w:tcPr>
          <w:p w14:paraId="7BAD1526" w14:textId="77777777" w:rsidR="00906524" w:rsidRPr="00491B1F" w:rsidRDefault="007475AA">
            <w:pPr>
              <w:shd w:val="clear" w:color="auto" w:fill="FFFFFF"/>
              <w:spacing w:line="240" w:lineRule="auto"/>
              <w:jc w:val="center"/>
              <w:rPr>
                <w:b/>
                <w:color w:val="181717"/>
              </w:rPr>
            </w:pPr>
            <w:r w:rsidRPr="00491B1F">
              <w:rPr>
                <w:b/>
                <w:color w:val="181717"/>
              </w:rPr>
              <w:t>FABIÁN ANDRÉS PUENTES SIERRA</w:t>
            </w:r>
          </w:p>
          <w:p w14:paraId="7BAD1527" w14:textId="77777777" w:rsidR="00906524" w:rsidRPr="00491B1F" w:rsidRDefault="007475AA">
            <w:pPr>
              <w:shd w:val="clear" w:color="auto" w:fill="FFFFFF"/>
              <w:spacing w:line="240" w:lineRule="auto"/>
              <w:jc w:val="center"/>
              <w:rPr>
                <w:color w:val="181717"/>
              </w:rPr>
            </w:pPr>
            <w:r w:rsidRPr="00491B1F">
              <w:rPr>
                <w:color w:val="181717"/>
              </w:rPr>
              <w:t xml:space="preserve">Concejal de Bogotá                                                            </w:t>
            </w:r>
          </w:p>
          <w:p w14:paraId="7BAD1528" w14:textId="77777777" w:rsidR="00906524" w:rsidRPr="00491B1F" w:rsidRDefault="007475AA">
            <w:pPr>
              <w:shd w:val="clear" w:color="auto" w:fill="FFFFFF"/>
              <w:spacing w:line="240" w:lineRule="auto"/>
              <w:jc w:val="center"/>
              <w:rPr>
                <w:color w:val="181717"/>
              </w:rPr>
            </w:pPr>
            <w:r w:rsidRPr="00491B1F">
              <w:rPr>
                <w:color w:val="181717"/>
              </w:rPr>
              <w:t xml:space="preserve">Partido Político MIRA                         </w:t>
            </w:r>
          </w:p>
          <w:p w14:paraId="7BAD1529" w14:textId="77777777" w:rsidR="00906524" w:rsidRPr="00491B1F" w:rsidRDefault="00906524">
            <w:pPr>
              <w:shd w:val="clear" w:color="auto" w:fill="FFFFFF"/>
              <w:spacing w:line="240" w:lineRule="auto"/>
              <w:jc w:val="center"/>
              <w:rPr>
                <w:color w:val="181717"/>
              </w:rPr>
            </w:pPr>
          </w:p>
        </w:tc>
        <w:tc>
          <w:tcPr>
            <w:tcW w:w="4080" w:type="dxa"/>
            <w:tcBorders>
              <w:top w:val="nil"/>
              <w:left w:val="nil"/>
              <w:bottom w:val="nil"/>
              <w:right w:val="nil"/>
            </w:tcBorders>
            <w:tcMar>
              <w:top w:w="0" w:type="dxa"/>
              <w:left w:w="100" w:type="dxa"/>
              <w:bottom w:w="0" w:type="dxa"/>
              <w:right w:w="100" w:type="dxa"/>
            </w:tcMar>
          </w:tcPr>
          <w:p w14:paraId="7BAD152A" w14:textId="77777777" w:rsidR="00906524" w:rsidRPr="00491B1F" w:rsidRDefault="007475AA">
            <w:pPr>
              <w:shd w:val="clear" w:color="auto" w:fill="FFFFFF"/>
              <w:spacing w:line="240" w:lineRule="auto"/>
              <w:jc w:val="center"/>
              <w:rPr>
                <w:b/>
                <w:color w:val="181717"/>
              </w:rPr>
            </w:pPr>
            <w:r w:rsidRPr="00491B1F">
              <w:rPr>
                <w:b/>
                <w:color w:val="181717"/>
              </w:rPr>
              <w:t xml:space="preserve"> SAMIR BEDOYA PIRAQUIVE</w:t>
            </w:r>
          </w:p>
          <w:p w14:paraId="7BAD152B" w14:textId="77777777" w:rsidR="00906524" w:rsidRPr="00491B1F" w:rsidRDefault="007475AA">
            <w:pPr>
              <w:shd w:val="clear" w:color="auto" w:fill="FFFFFF"/>
              <w:spacing w:line="240" w:lineRule="auto"/>
              <w:jc w:val="center"/>
              <w:rPr>
                <w:color w:val="181717"/>
              </w:rPr>
            </w:pPr>
            <w:r w:rsidRPr="00491B1F">
              <w:rPr>
                <w:color w:val="181717"/>
              </w:rPr>
              <w:t xml:space="preserve"> Concejal de Bogotá                                         </w:t>
            </w:r>
          </w:p>
          <w:p w14:paraId="7BAD152C" w14:textId="77777777" w:rsidR="00906524" w:rsidRPr="00491B1F" w:rsidRDefault="007475AA">
            <w:pPr>
              <w:shd w:val="clear" w:color="auto" w:fill="FFFFFF"/>
              <w:spacing w:line="240" w:lineRule="auto"/>
              <w:jc w:val="center"/>
              <w:rPr>
                <w:color w:val="181717"/>
              </w:rPr>
            </w:pPr>
            <w:r w:rsidRPr="00491B1F">
              <w:rPr>
                <w:color w:val="181717"/>
              </w:rPr>
              <w:t xml:space="preserve"> Partido Político MIRA         </w:t>
            </w:r>
          </w:p>
        </w:tc>
      </w:tr>
    </w:tbl>
    <w:p w14:paraId="7BAD152E" w14:textId="77777777" w:rsidR="00906524" w:rsidRPr="00491B1F" w:rsidRDefault="00906524">
      <w:pPr>
        <w:shd w:val="clear" w:color="auto" w:fill="FFFFFF"/>
        <w:spacing w:line="240" w:lineRule="auto"/>
      </w:pPr>
    </w:p>
    <w:sectPr w:rsidR="00906524" w:rsidRPr="00491B1F">
      <w:headerReference w:type="default" r:id="rId9"/>
      <w:pgSz w:w="11909" w:h="16834"/>
      <w:pgMar w:top="1440" w:right="1440" w:bottom="1440"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697D1" w14:textId="77777777" w:rsidR="00E4668A" w:rsidRDefault="00E4668A">
      <w:pPr>
        <w:spacing w:line="240" w:lineRule="auto"/>
      </w:pPr>
      <w:r>
        <w:separator/>
      </w:r>
    </w:p>
  </w:endnote>
  <w:endnote w:type="continuationSeparator" w:id="0">
    <w:p w14:paraId="635E197F" w14:textId="77777777" w:rsidR="00E4668A" w:rsidRDefault="00E46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8AD09" w14:textId="77777777" w:rsidR="00E4668A" w:rsidRDefault="00E4668A">
      <w:pPr>
        <w:spacing w:line="240" w:lineRule="auto"/>
      </w:pPr>
      <w:r>
        <w:separator/>
      </w:r>
    </w:p>
  </w:footnote>
  <w:footnote w:type="continuationSeparator" w:id="0">
    <w:p w14:paraId="39C0B0FA" w14:textId="77777777" w:rsidR="00E4668A" w:rsidRDefault="00E4668A">
      <w:pPr>
        <w:spacing w:line="240" w:lineRule="auto"/>
      </w:pPr>
      <w:r>
        <w:continuationSeparator/>
      </w:r>
    </w:p>
  </w:footnote>
  <w:footnote w:id="1">
    <w:p w14:paraId="7BAD1544" w14:textId="77777777" w:rsidR="00906524" w:rsidRDefault="007475AA">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Mercado</w:t>
        </w:r>
      </w:hyperlink>
    </w:p>
  </w:footnote>
  <w:footnote w:id="2">
    <w:p w14:paraId="7BAD1545" w14:textId="77777777" w:rsidR="00906524" w:rsidRDefault="007475AA">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bol-EMICRON-PanaderiasTiendasBarrio-2023.pdf</w:t>
        </w:r>
      </w:hyperlink>
    </w:p>
  </w:footnote>
  <w:footnote w:id="3">
    <w:p w14:paraId="7BAD1546" w14:textId="77777777" w:rsidR="00906524" w:rsidRDefault="007475AA">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ne_emicron_vfinal-CARACTERIZACION-MICRONEGOCIOS.pdf</w:t>
        </w:r>
      </w:hyperlink>
    </w:p>
  </w:footnote>
  <w:footnote w:id="4">
    <w:p w14:paraId="7BAD1547" w14:textId="77777777" w:rsidR="00906524" w:rsidRDefault="007475AA">
      <w:pPr>
        <w:spacing w:line="240" w:lineRule="auto"/>
        <w:rPr>
          <w:sz w:val="20"/>
          <w:szCs w:val="20"/>
        </w:rPr>
      </w:pPr>
      <w:r>
        <w:rPr>
          <w:vertAlign w:val="superscript"/>
        </w:rPr>
        <w:footnoteRef/>
      </w:r>
      <w:r>
        <w:rPr>
          <w:sz w:val="20"/>
          <w:szCs w:val="20"/>
        </w:rPr>
        <w:t xml:space="preserve"> ibid </w:t>
      </w:r>
    </w:p>
  </w:footnote>
  <w:footnote w:id="5">
    <w:p w14:paraId="7BAD1548" w14:textId="77777777" w:rsidR="00906524" w:rsidRDefault="007475AA">
      <w:pPr>
        <w:spacing w:line="240" w:lineRule="auto"/>
        <w:rPr>
          <w:sz w:val="20"/>
          <w:szCs w:val="20"/>
        </w:rPr>
      </w:pPr>
      <w:r>
        <w:rPr>
          <w:vertAlign w:val="superscript"/>
        </w:rPr>
        <w:footnoteRef/>
      </w:r>
      <w:r>
        <w:rPr>
          <w:sz w:val="20"/>
          <w:szCs w:val="20"/>
        </w:rPr>
        <w:t xml:space="preserve"> </w:t>
      </w:r>
      <w:hyperlink r:id="rId4">
        <w:r>
          <w:rPr>
            <w:color w:val="1155CC"/>
            <w:sz w:val="20"/>
            <w:szCs w:val="20"/>
            <w:u w:val="single"/>
          </w:rPr>
          <w:t>ne_emicron_vfinal-CARACTERIZACION-MICRONEGOCIOS.pdf</w:t>
        </w:r>
      </w:hyperlink>
    </w:p>
  </w:footnote>
  <w:footnote w:id="6">
    <w:p w14:paraId="7BAD1549" w14:textId="77777777" w:rsidR="00906524" w:rsidRDefault="007475AA">
      <w:pPr>
        <w:spacing w:line="240" w:lineRule="auto"/>
        <w:rPr>
          <w:sz w:val="20"/>
          <w:szCs w:val="20"/>
        </w:rPr>
      </w:pPr>
      <w:r>
        <w:rPr>
          <w:vertAlign w:val="superscript"/>
        </w:rPr>
        <w:footnoteRef/>
      </w:r>
      <w:r>
        <w:rPr>
          <w:sz w:val="20"/>
          <w:szCs w:val="20"/>
        </w:rPr>
        <w:t xml:space="preserve"> </w:t>
      </w:r>
      <w:hyperlink r:id="rId5">
        <w:r>
          <w:rPr>
            <w:color w:val="1155CC"/>
            <w:sz w:val="20"/>
            <w:szCs w:val="20"/>
            <w:u w:val="single"/>
          </w:rPr>
          <w:t>84,8 % de los micronegocios en Bogotá no acude al sistema financiero: Observatorio de Desarrollo Económico de Bogotá - Secretaría Distrital de Desarrollo Económico</w:t>
        </w:r>
      </w:hyperlink>
    </w:p>
  </w:footnote>
  <w:footnote w:id="7">
    <w:p w14:paraId="54A88AD5" w14:textId="4936429B" w:rsidR="00374267" w:rsidRPr="00374267" w:rsidRDefault="00374267">
      <w:pPr>
        <w:pStyle w:val="Textonotapie"/>
        <w:rPr>
          <w:lang w:val="es-CO"/>
        </w:rPr>
      </w:pPr>
      <w:r>
        <w:rPr>
          <w:rStyle w:val="Refdenotaalpie"/>
        </w:rPr>
        <w:footnoteRef/>
      </w:r>
      <w:r>
        <w:t xml:space="preserve"> </w:t>
      </w:r>
      <w:r w:rsidRPr="00374267">
        <w:rPr>
          <w:b/>
          <w:bCs/>
        </w:rPr>
        <w:t>Naciones Unidas.</w:t>
      </w:r>
      <w:r w:rsidRPr="00374267">
        <w:t xml:space="preserve"> (2015). </w:t>
      </w:r>
      <w:r w:rsidRPr="00374267">
        <w:rPr>
          <w:i/>
          <w:iCs/>
        </w:rPr>
        <w:t>Transformar nuestro mundo: la Agenda 2030 para el Desarrollo Sostenible</w:t>
      </w:r>
      <w:r w:rsidRPr="00374267">
        <w:t xml:space="preserve"> (Resolución A/RES/70/1). Recuperado de https://www.un.org/sustainabledevelopment/es/objetivos-de-desarrollo-sostenible/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D1531" w14:textId="77777777" w:rsidR="00906524" w:rsidRDefault="00906524">
    <w:pPr>
      <w:widowControl w:val="0"/>
      <w:rPr>
        <w:sz w:val="24"/>
        <w:szCs w:val="24"/>
      </w:rPr>
    </w:pPr>
  </w:p>
  <w:tbl>
    <w:tblPr>
      <w:tblStyle w:val="a1"/>
      <w:tblW w:w="8848" w:type="dxa"/>
      <w:jc w:val="center"/>
      <w:tblInd w:w="0" w:type="dxa"/>
      <w:tblBorders>
        <w:top w:val="single" w:sz="4" w:space="0" w:color="00000A"/>
        <w:left w:val="single" w:sz="4" w:space="0" w:color="00000A"/>
        <w:bottom w:val="nil"/>
        <w:right w:val="single" w:sz="4" w:space="0" w:color="00000A"/>
        <w:insideH w:val="nil"/>
        <w:insideV w:val="single" w:sz="4" w:space="0" w:color="00000A"/>
      </w:tblBorders>
      <w:tblLayout w:type="fixed"/>
      <w:tblLook w:val="0400" w:firstRow="0" w:lastRow="0" w:firstColumn="0" w:lastColumn="0" w:noHBand="0" w:noVBand="1"/>
    </w:tblPr>
    <w:tblGrid>
      <w:gridCol w:w="2356"/>
      <w:gridCol w:w="4245"/>
      <w:gridCol w:w="2247"/>
    </w:tblGrid>
    <w:tr w:rsidR="00906524" w14:paraId="7BAD1538" w14:textId="77777777">
      <w:trPr>
        <w:trHeight w:val="557"/>
        <w:jc w:val="center"/>
      </w:trPr>
      <w:tc>
        <w:tcPr>
          <w:tcW w:w="2356" w:type="dxa"/>
          <w:vMerge w:val="restart"/>
          <w:tcBorders>
            <w:bottom w:val="single" w:sz="4" w:space="0" w:color="00000A"/>
            <w:right w:val="single" w:sz="4" w:space="0" w:color="000000"/>
          </w:tcBorders>
          <w:shd w:val="clear" w:color="auto" w:fill="FFFFFF"/>
          <w:tcMar>
            <w:left w:w="45" w:type="dxa"/>
          </w:tcMar>
          <w:vAlign w:val="center"/>
        </w:tcPr>
        <w:p w14:paraId="7BAD1532" w14:textId="77777777" w:rsidR="00906524" w:rsidRDefault="00906524">
          <w:pPr>
            <w:spacing w:line="240" w:lineRule="auto"/>
            <w:rPr>
              <w:sz w:val="16"/>
              <w:szCs w:val="16"/>
            </w:rPr>
          </w:pPr>
        </w:p>
        <w:p w14:paraId="7BAD1533" w14:textId="77777777" w:rsidR="00906524" w:rsidRDefault="007475AA">
          <w:pPr>
            <w:spacing w:line="240" w:lineRule="auto"/>
            <w:jc w:val="center"/>
            <w:rPr>
              <w:sz w:val="24"/>
              <w:szCs w:val="24"/>
            </w:rPr>
          </w:pPr>
          <w:r>
            <w:rPr>
              <w:noProof/>
              <w:sz w:val="24"/>
              <w:szCs w:val="24"/>
              <w:lang w:val="es-CO"/>
            </w:rPr>
            <w:drawing>
              <wp:inline distT="0" distB="0" distL="0" distR="0" wp14:anchorId="7BAD1542" wp14:editId="7BAD1543">
                <wp:extent cx="419100" cy="508000"/>
                <wp:effectExtent l="0" t="0" r="0" b="0"/>
                <wp:docPr id="2" name="image2.png" descr="200px-Bogota_(escudo)_svg"/>
                <wp:cNvGraphicFramePr/>
                <a:graphic xmlns:a="http://schemas.openxmlformats.org/drawingml/2006/main">
                  <a:graphicData uri="http://schemas.openxmlformats.org/drawingml/2006/picture">
                    <pic:pic xmlns:pic="http://schemas.openxmlformats.org/drawingml/2006/picture">
                      <pic:nvPicPr>
                        <pic:cNvPr id="0" name="image2.png" descr="200px-Bogota_(escudo)_svg"/>
                        <pic:cNvPicPr preferRelativeResize="0"/>
                      </pic:nvPicPr>
                      <pic:blipFill>
                        <a:blip r:embed="rId1"/>
                        <a:srcRect/>
                        <a:stretch>
                          <a:fillRect/>
                        </a:stretch>
                      </pic:blipFill>
                      <pic:spPr>
                        <a:xfrm>
                          <a:off x="0" y="0"/>
                          <a:ext cx="419100" cy="508000"/>
                        </a:xfrm>
                        <a:prstGeom prst="rect">
                          <a:avLst/>
                        </a:prstGeom>
                        <a:ln/>
                      </pic:spPr>
                    </pic:pic>
                  </a:graphicData>
                </a:graphic>
              </wp:inline>
            </w:drawing>
          </w:r>
        </w:p>
        <w:p w14:paraId="7BAD1534" w14:textId="77777777" w:rsidR="00906524" w:rsidRDefault="00906524">
          <w:pPr>
            <w:spacing w:line="240" w:lineRule="auto"/>
            <w:rPr>
              <w:sz w:val="16"/>
              <w:szCs w:val="16"/>
            </w:rPr>
          </w:pPr>
        </w:p>
        <w:p w14:paraId="7BAD1535" w14:textId="77777777" w:rsidR="00906524" w:rsidRDefault="007475AA">
          <w:pPr>
            <w:spacing w:line="240" w:lineRule="auto"/>
            <w:jc w:val="center"/>
            <w:rPr>
              <w:sz w:val="16"/>
              <w:szCs w:val="16"/>
            </w:rPr>
          </w:pPr>
          <w:r>
            <w:rPr>
              <w:sz w:val="16"/>
              <w:szCs w:val="16"/>
            </w:rPr>
            <w:t>CONCEJO DE BOGOTÁ D.C.</w:t>
          </w:r>
        </w:p>
      </w:tc>
      <w:tc>
        <w:tcPr>
          <w:tcW w:w="4245" w:type="dxa"/>
          <w:tcBorders>
            <w:left w:val="single" w:sz="4" w:space="0" w:color="000000"/>
            <w:bottom w:val="single" w:sz="4" w:space="0" w:color="00000A"/>
          </w:tcBorders>
          <w:shd w:val="clear" w:color="auto" w:fill="FFFFFF"/>
          <w:tcMar>
            <w:left w:w="70" w:type="dxa"/>
          </w:tcMar>
          <w:vAlign w:val="center"/>
        </w:tcPr>
        <w:p w14:paraId="7BAD1536" w14:textId="77777777" w:rsidR="00906524" w:rsidRDefault="007475AA">
          <w:pPr>
            <w:spacing w:line="240" w:lineRule="auto"/>
            <w:jc w:val="center"/>
            <w:rPr>
              <w:sz w:val="18"/>
              <w:szCs w:val="18"/>
            </w:rPr>
          </w:pPr>
          <w:r>
            <w:rPr>
              <w:sz w:val="18"/>
              <w:szCs w:val="18"/>
            </w:rPr>
            <w:t>PROCESO GESTIÓN NORMATIVA</w:t>
          </w: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7BAD1537" w14:textId="77777777" w:rsidR="00906524" w:rsidRDefault="007475AA">
          <w:pPr>
            <w:spacing w:line="240" w:lineRule="auto"/>
            <w:rPr>
              <w:sz w:val="16"/>
              <w:szCs w:val="16"/>
            </w:rPr>
          </w:pPr>
          <w:r>
            <w:rPr>
              <w:sz w:val="16"/>
              <w:szCs w:val="16"/>
            </w:rPr>
            <w:t>CÓDIGO</w:t>
          </w:r>
          <w:r>
            <w:rPr>
              <w:color w:val="3366FF"/>
              <w:sz w:val="16"/>
              <w:szCs w:val="16"/>
            </w:rPr>
            <w:t xml:space="preserve">: </w:t>
          </w:r>
          <w:r>
            <w:rPr>
              <w:sz w:val="16"/>
              <w:szCs w:val="16"/>
            </w:rPr>
            <w:t>GNV-FO-001</w:t>
          </w:r>
        </w:p>
      </w:tc>
    </w:tr>
    <w:tr w:rsidR="00906524" w14:paraId="7BAD153C" w14:textId="77777777">
      <w:trPr>
        <w:trHeight w:val="323"/>
        <w:jc w:val="center"/>
      </w:trPr>
      <w:tc>
        <w:tcPr>
          <w:tcW w:w="2356" w:type="dxa"/>
          <w:vMerge/>
          <w:tcBorders>
            <w:top w:val="single" w:sz="4" w:space="0" w:color="00000A"/>
            <w:bottom w:val="single" w:sz="4" w:space="0" w:color="00000A"/>
          </w:tcBorders>
          <w:shd w:val="clear" w:color="auto" w:fill="FFFFFF"/>
          <w:tcMar>
            <w:left w:w="45" w:type="dxa"/>
          </w:tcMar>
          <w:vAlign w:val="center"/>
        </w:tcPr>
        <w:p w14:paraId="7BAD1539" w14:textId="77777777" w:rsidR="00906524" w:rsidRDefault="00906524">
          <w:pPr>
            <w:widowControl w:val="0"/>
            <w:rPr>
              <w:sz w:val="16"/>
              <w:szCs w:val="16"/>
            </w:rPr>
          </w:pPr>
        </w:p>
      </w:tc>
      <w:tc>
        <w:tcPr>
          <w:tcW w:w="4245" w:type="dxa"/>
          <w:vMerge w:val="restart"/>
          <w:tcBorders>
            <w:top w:val="single" w:sz="4" w:space="0" w:color="00000A"/>
            <w:bottom w:val="single" w:sz="4" w:space="0" w:color="00000A"/>
          </w:tcBorders>
          <w:shd w:val="clear" w:color="auto" w:fill="FFFFFF"/>
          <w:tcMar>
            <w:left w:w="70" w:type="dxa"/>
          </w:tcMar>
          <w:vAlign w:val="center"/>
        </w:tcPr>
        <w:p w14:paraId="7BAD153A" w14:textId="77777777" w:rsidR="00906524" w:rsidRDefault="007475AA">
          <w:pPr>
            <w:spacing w:line="240" w:lineRule="auto"/>
            <w:jc w:val="center"/>
            <w:rPr>
              <w:sz w:val="20"/>
              <w:szCs w:val="20"/>
            </w:rPr>
          </w:pPr>
          <w:r>
            <w:rPr>
              <w:sz w:val="20"/>
              <w:szCs w:val="20"/>
            </w:rPr>
            <w:t>PRESENTACIÓN PROYECTOS DE ACUERDO</w:t>
          </w: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7BAD153B" w14:textId="77777777" w:rsidR="00906524" w:rsidRDefault="007475AA">
          <w:pPr>
            <w:spacing w:line="240" w:lineRule="auto"/>
            <w:rPr>
              <w:sz w:val="16"/>
              <w:szCs w:val="16"/>
            </w:rPr>
          </w:pPr>
          <w:r>
            <w:rPr>
              <w:sz w:val="16"/>
              <w:szCs w:val="16"/>
            </w:rPr>
            <w:t>VERSIÓN:    02</w:t>
          </w:r>
        </w:p>
      </w:tc>
    </w:tr>
    <w:tr w:rsidR="00906524" w14:paraId="7BAD1540" w14:textId="77777777">
      <w:trPr>
        <w:trHeight w:val="330"/>
        <w:jc w:val="center"/>
      </w:trPr>
      <w:tc>
        <w:tcPr>
          <w:tcW w:w="2356" w:type="dxa"/>
          <w:vMerge/>
          <w:tcBorders>
            <w:top w:val="single" w:sz="4" w:space="0" w:color="00000A"/>
            <w:bottom w:val="single" w:sz="4" w:space="0" w:color="000000"/>
            <w:right w:val="single" w:sz="4" w:space="0" w:color="000000"/>
          </w:tcBorders>
          <w:shd w:val="clear" w:color="auto" w:fill="FFFFFF"/>
          <w:tcMar>
            <w:left w:w="45" w:type="dxa"/>
          </w:tcMar>
          <w:vAlign w:val="center"/>
        </w:tcPr>
        <w:p w14:paraId="7BAD153D" w14:textId="77777777" w:rsidR="00906524" w:rsidRDefault="00906524">
          <w:pPr>
            <w:widowControl w:val="0"/>
            <w:rPr>
              <w:sz w:val="16"/>
              <w:szCs w:val="16"/>
            </w:rPr>
          </w:pPr>
        </w:p>
      </w:tc>
      <w:tc>
        <w:tcPr>
          <w:tcW w:w="4245" w:type="dxa"/>
          <w:vMerge/>
          <w:tcBorders>
            <w:top w:val="single" w:sz="4" w:space="0" w:color="00000A"/>
            <w:left w:val="single" w:sz="4" w:space="0" w:color="000000"/>
            <w:bottom w:val="single" w:sz="4" w:space="0" w:color="000000"/>
          </w:tcBorders>
          <w:shd w:val="clear" w:color="auto" w:fill="FFFFFF"/>
          <w:tcMar>
            <w:left w:w="70" w:type="dxa"/>
          </w:tcMar>
          <w:vAlign w:val="center"/>
        </w:tcPr>
        <w:p w14:paraId="7BAD153E" w14:textId="77777777" w:rsidR="00906524" w:rsidRDefault="00906524">
          <w:pPr>
            <w:widowControl w:val="0"/>
            <w:rPr>
              <w:sz w:val="16"/>
              <w:szCs w:val="16"/>
            </w:rPr>
          </w:pPr>
        </w:p>
      </w:tc>
      <w:tc>
        <w:tcPr>
          <w:tcW w:w="2247" w:type="dxa"/>
          <w:tcBorders>
            <w:top w:val="single" w:sz="4" w:space="0" w:color="00000A"/>
            <w:left w:val="single" w:sz="4" w:space="0" w:color="000000"/>
            <w:bottom w:val="single" w:sz="4" w:space="0" w:color="00000A"/>
            <w:right w:val="single" w:sz="4" w:space="0" w:color="000001"/>
          </w:tcBorders>
          <w:shd w:val="clear" w:color="auto" w:fill="FFFFFF"/>
          <w:tcMar>
            <w:left w:w="70" w:type="dxa"/>
          </w:tcMar>
          <w:vAlign w:val="center"/>
        </w:tcPr>
        <w:p w14:paraId="7BAD153F" w14:textId="77777777" w:rsidR="00906524" w:rsidRDefault="007475AA">
          <w:pPr>
            <w:spacing w:line="240" w:lineRule="auto"/>
            <w:rPr>
              <w:sz w:val="16"/>
              <w:szCs w:val="16"/>
            </w:rPr>
          </w:pPr>
          <w:r>
            <w:rPr>
              <w:sz w:val="16"/>
              <w:szCs w:val="16"/>
            </w:rPr>
            <w:t>FECHA: 14-Nov-2019</w:t>
          </w:r>
        </w:p>
      </w:tc>
    </w:tr>
  </w:tbl>
  <w:p w14:paraId="7BAD1541" w14:textId="77777777" w:rsidR="00906524" w:rsidRDefault="00906524">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35C1E"/>
    <w:multiLevelType w:val="multilevel"/>
    <w:tmpl w:val="F4A868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6B957382"/>
    <w:multiLevelType w:val="multilevel"/>
    <w:tmpl w:val="07F482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524"/>
    <w:rsid w:val="000D3923"/>
    <w:rsid w:val="0019398F"/>
    <w:rsid w:val="001E3FBB"/>
    <w:rsid w:val="002014DF"/>
    <w:rsid w:val="00374267"/>
    <w:rsid w:val="003D5FF7"/>
    <w:rsid w:val="00417687"/>
    <w:rsid w:val="00471754"/>
    <w:rsid w:val="00476FB7"/>
    <w:rsid w:val="0048448E"/>
    <w:rsid w:val="00491B1F"/>
    <w:rsid w:val="00595D62"/>
    <w:rsid w:val="00682718"/>
    <w:rsid w:val="00734B6E"/>
    <w:rsid w:val="007475AA"/>
    <w:rsid w:val="0078634E"/>
    <w:rsid w:val="007F4542"/>
    <w:rsid w:val="00811CAC"/>
    <w:rsid w:val="00815C8B"/>
    <w:rsid w:val="0082195B"/>
    <w:rsid w:val="00906524"/>
    <w:rsid w:val="00A32D77"/>
    <w:rsid w:val="00A51B08"/>
    <w:rsid w:val="00AB13C6"/>
    <w:rsid w:val="00B52303"/>
    <w:rsid w:val="00BD4E09"/>
    <w:rsid w:val="00C569D9"/>
    <w:rsid w:val="00DA5DFD"/>
    <w:rsid w:val="00DE1840"/>
    <w:rsid w:val="00DE1F5E"/>
    <w:rsid w:val="00E16AA9"/>
    <w:rsid w:val="00E4668A"/>
    <w:rsid w:val="00E876A5"/>
    <w:rsid w:val="00ED32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1462"/>
  <w15:docId w15:val="{922753DF-821C-4528-8F6D-19AAA7126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419"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unhideWhenUsed/>
    <w:qFormat/>
    <w:pPr>
      <w:keepNext/>
      <w:keepLines/>
      <w:spacing w:before="360" w:after="120"/>
      <w:outlineLvl w:val="1"/>
    </w:pPr>
    <w:rPr>
      <w:sz w:val="32"/>
      <w:szCs w:val="32"/>
    </w:rPr>
  </w:style>
  <w:style w:type="paragraph" w:styleId="Ttulo3">
    <w:name w:val="heading 3"/>
    <w:basedOn w:val="Normal"/>
    <w:next w:val="Normal"/>
    <w:uiPriority w:val="9"/>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15" w:type="dxa"/>
        <w:bottom w:w="100" w:type="dxa"/>
        <w:right w:w="115" w:type="dxa"/>
      </w:tblCellMar>
    </w:tblPr>
  </w:style>
  <w:style w:type="paragraph" w:styleId="Textonotapie">
    <w:name w:val="footnote text"/>
    <w:basedOn w:val="Normal"/>
    <w:link w:val="TextonotapieCar"/>
    <w:uiPriority w:val="99"/>
    <w:semiHidden/>
    <w:unhideWhenUsed/>
    <w:rsid w:val="00374267"/>
    <w:pPr>
      <w:spacing w:line="240" w:lineRule="auto"/>
    </w:pPr>
    <w:rPr>
      <w:sz w:val="20"/>
      <w:szCs w:val="20"/>
    </w:rPr>
  </w:style>
  <w:style w:type="character" w:customStyle="1" w:styleId="TextonotapieCar">
    <w:name w:val="Texto nota pie Car"/>
    <w:basedOn w:val="Fuentedeprrafopredeter"/>
    <w:link w:val="Textonotapie"/>
    <w:uiPriority w:val="99"/>
    <w:semiHidden/>
    <w:rsid w:val="00374267"/>
    <w:rPr>
      <w:sz w:val="20"/>
      <w:szCs w:val="20"/>
    </w:rPr>
  </w:style>
  <w:style w:type="character" w:styleId="Refdenotaalpie">
    <w:name w:val="footnote reference"/>
    <w:basedOn w:val="Fuentedeprrafopredeter"/>
    <w:uiPriority w:val="99"/>
    <w:semiHidden/>
    <w:unhideWhenUsed/>
    <w:rsid w:val="003742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4750">
      <w:bodyDiv w:val="1"/>
      <w:marLeft w:val="0"/>
      <w:marRight w:val="0"/>
      <w:marTop w:val="0"/>
      <w:marBottom w:val="0"/>
      <w:divBdr>
        <w:top w:val="none" w:sz="0" w:space="0" w:color="auto"/>
        <w:left w:val="none" w:sz="0" w:space="0" w:color="auto"/>
        <w:bottom w:val="none" w:sz="0" w:space="0" w:color="auto"/>
        <w:right w:val="none" w:sz="0" w:space="0" w:color="auto"/>
      </w:divBdr>
    </w:div>
    <w:div w:id="288900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observatorio.desarrolloeconomico.gov.co/wp-content/uploads/2025/02/ne_emicron_vfinal-CARACTERIZACION-MICRONEGOCIOS.pdf" TargetMode="External"/><Relationship Id="rId2" Type="http://schemas.openxmlformats.org/officeDocument/2006/relationships/hyperlink" Target="https://www.dane.gov.co/files/operaciones/EMICRON/bol-EMICRON-PanaderiasTiendasBarrio-2023.pdf" TargetMode="External"/><Relationship Id="rId1" Type="http://schemas.openxmlformats.org/officeDocument/2006/relationships/hyperlink" Target="https://www.dane.gov.co/files/operaciones/EMICRON/pres-EMICRON-Itrim2025.pdf" TargetMode="External"/><Relationship Id="rId5" Type="http://schemas.openxmlformats.org/officeDocument/2006/relationships/hyperlink" Target="https://desarrolloeconomico.gov.co/848-de-los-micronegocios-en-bogota-no-acude-al-sistema-financiero-observatorio-de-desarrollo-economico-de-bogota/" TargetMode="External"/><Relationship Id="rId4" Type="http://schemas.openxmlformats.org/officeDocument/2006/relationships/hyperlink" Target="https://observatorio.desarrolloeconomico.gov.co/wp-content/uploads/2025/02/ne_emicron_vfinal-CARACTERIZACION-MICRONEGOCIO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088BA-AA94-45B3-9DD2-D8BB84DE0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3488</Words>
  <Characters>19186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ISABEL VANEGAS BARRANTES</dc:creator>
  <cp:lastModifiedBy>MORRISON TARQUINO DAZA</cp:lastModifiedBy>
  <cp:revision>2</cp:revision>
  <dcterms:created xsi:type="dcterms:W3CDTF">2025-08-11T15:22:00Z</dcterms:created>
  <dcterms:modified xsi:type="dcterms:W3CDTF">2025-08-11T15:22:00Z</dcterms:modified>
</cp:coreProperties>
</file>